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2" w:lineRule="auto"/>
        <w:jc w:val="center"/>
        <w:rPr>
          <w:rFonts w:hint="eastAsia" w:eastAsia="黑体" w:cs="宋体"/>
          <w:b/>
          <w:bCs/>
          <w:sz w:val="28"/>
          <w:szCs w:val="28"/>
        </w:rPr>
      </w:pPr>
      <w:r>
        <w:rPr>
          <w:rFonts w:hint="eastAsia" w:eastAsia="黑体" w:cs="宋体"/>
          <w:b/>
          <w:bCs/>
          <w:sz w:val="28"/>
          <w:szCs w:val="28"/>
        </w:rPr>
        <w:t>全国电气工程领域工程专业学位研究生教育协作组第十</w:t>
      </w:r>
      <w:r>
        <w:rPr>
          <w:rFonts w:hint="eastAsia" w:eastAsia="黑体" w:cs="宋体"/>
          <w:b/>
          <w:bCs/>
          <w:sz w:val="28"/>
          <w:szCs w:val="28"/>
          <w:lang w:eastAsia="zh-CN"/>
        </w:rPr>
        <w:t>三</w:t>
      </w:r>
      <w:r>
        <w:rPr>
          <w:rFonts w:hint="eastAsia" w:eastAsia="黑体" w:cs="宋体"/>
          <w:b/>
          <w:bCs/>
          <w:sz w:val="28"/>
          <w:szCs w:val="28"/>
        </w:rPr>
        <w:t>次工作会议</w:t>
      </w:r>
      <w:r>
        <w:rPr>
          <w:rFonts w:hint="eastAsia" w:eastAsia="黑体" w:cs="宋体"/>
          <w:b/>
          <w:bCs/>
          <w:color w:val="000000"/>
          <w:sz w:val="28"/>
          <w:szCs w:val="28"/>
        </w:rPr>
        <w:t>会</w:t>
      </w:r>
      <w:r>
        <w:rPr>
          <w:rFonts w:eastAsia="黑体" w:cs="宋体"/>
          <w:b/>
          <w:bCs/>
          <w:color w:val="000000"/>
          <w:sz w:val="28"/>
          <w:szCs w:val="28"/>
        </w:rPr>
        <w:t xml:space="preserve"> </w:t>
      </w:r>
      <w:r>
        <w:rPr>
          <w:rFonts w:hint="eastAsia" w:eastAsia="黑体" w:cs="宋体"/>
          <w:b/>
          <w:bCs/>
          <w:color w:val="000000"/>
          <w:sz w:val="28"/>
          <w:szCs w:val="28"/>
        </w:rPr>
        <w:t>议</w:t>
      </w:r>
      <w:r>
        <w:rPr>
          <w:rFonts w:eastAsia="黑体" w:cs="宋体"/>
          <w:b/>
          <w:bCs/>
          <w:color w:val="000000"/>
          <w:sz w:val="28"/>
          <w:szCs w:val="28"/>
        </w:rPr>
        <w:t xml:space="preserve"> </w:t>
      </w:r>
      <w:r>
        <w:rPr>
          <w:rFonts w:hint="eastAsia" w:eastAsia="黑体" w:cs="宋体"/>
          <w:b/>
          <w:bCs/>
          <w:color w:val="000000"/>
          <w:sz w:val="28"/>
          <w:szCs w:val="28"/>
        </w:rPr>
        <w:t>通</w:t>
      </w:r>
      <w:r>
        <w:rPr>
          <w:rFonts w:eastAsia="黑体" w:cs="宋体"/>
          <w:b/>
          <w:bCs/>
          <w:color w:val="000000"/>
          <w:sz w:val="28"/>
          <w:szCs w:val="28"/>
        </w:rPr>
        <w:t xml:space="preserve"> </w:t>
      </w:r>
      <w:r>
        <w:rPr>
          <w:rFonts w:hint="eastAsia" w:eastAsia="黑体" w:cs="宋体"/>
          <w:b/>
          <w:bCs/>
          <w:color w:val="000000"/>
          <w:sz w:val="28"/>
          <w:szCs w:val="28"/>
        </w:rPr>
        <w:t>知</w:t>
      </w:r>
    </w:p>
    <w:p>
      <w:pPr>
        <w:spacing w:line="360" w:lineRule="auto"/>
        <w:jc w:val="left"/>
        <w:rPr>
          <w:rFonts w:hint="eastAsia" w:ascii="宋体" w:hAnsi="宋体" w:cs="宋体"/>
          <w:color w:val="FF0000"/>
          <w:sz w:val="24"/>
        </w:rPr>
      </w:pPr>
    </w:p>
    <w:p>
      <w:pPr>
        <w:spacing w:line="360" w:lineRule="auto"/>
        <w:jc w:val="left"/>
        <w:rPr>
          <w:rFonts w:ascii="宋体" w:hAnsi="宋体" w:cs="宋体"/>
          <w:color w:val="000000"/>
          <w:sz w:val="24"/>
        </w:rPr>
      </w:pPr>
      <w:r>
        <w:rPr>
          <w:rFonts w:hint="eastAsia" w:ascii="宋体" w:hAnsi="宋体" w:cs="宋体"/>
          <w:color w:val="000000"/>
          <w:sz w:val="24"/>
        </w:rPr>
        <w:t>各成员单位：</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经全国电气工程领域工程专业学位研究生教育协作组会商全国工程专业学位研究生教育指导委员会秘书处，决定于</w:t>
      </w:r>
      <w:r>
        <w:rPr>
          <w:rFonts w:ascii="宋体" w:hAnsi="宋体" w:cs="宋体"/>
          <w:color w:val="000000"/>
          <w:sz w:val="24"/>
        </w:rPr>
        <w:t>20</w:t>
      </w:r>
      <w:r>
        <w:rPr>
          <w:rFonts w:hint="eastAsia" w:ascii="宋体" w:hAnsi="宋体" w:cs="宋体"/>
          <w:color w:val="000000"/>
          <w:sz w:val="24"/>
        </w:rPr>
        <w:t>1</w:t>
      </w:r>
      <w:r>
        <w:rPr>
          <w:rFonts w:hint="eastAsia" w:ascii="宋体" w:hAnsi="宋体" w:cs="宋体"/>
          <w:color w:val="000000"/>
          <w:sz w:val="24"/>
          <w:lang w:val="en-US" w:eastAsia="zh-CN"/>
        </w:rPr>
        <w:t>7</w:t>
      </w:r>
      <w:r>
        <w:rPr>
          <w:rFonts w:hint="eastAsia" w:ascii="宋体" w:hAnsi="宋体" w:cs="宋体"/>
          <w:color w:val="000000"/>
          <w:sz w:val="24"/>
        </w:rPr>
        <w:t>年1</w:t>
      </w:r>
      <w:r>
        <w:rPr>
          <w:rFonts w:hint="eastAsia" w:ascii="宋体" w:hAnsi="宋体" w:cs="宋体"/>
          <w:color w:val="000000"/>
          <w:sz w:val="24"/>
          <w:lang w:val="en-US" w:eastAsia="zh-CN"/>
        </w:rPr>
        <w:t>0</w:t>
      </w:r>
      <w:r>
        <w:rPr>
          <w:rFonts w:hint="eastAsia" w:ascii="宋体" w:hAnsi="宋体" w:cs="宋体"/>
          <w:color w:val="000000"/>
          <w:sz w:val="24"/>
        </w:rPr>
        <w:t>月1</w:t>
      </w:r>
      <w:r>
        <w:rPr>
          <w:rFonts w:hint="eastAsia" w:ascii="宋体" w:hAnsi="宋体" w:cs="宋体"/>
          <w:color w:val="000000"/>
          <w:sz w:val="24"/>
          <w:lang w:val="en-US" w:eastAsia="zh-CN"/>
        </w:rPr>
        <w:t>5</w:t>
      </w:r>
      <w:r>
        <w:rPr>
          <w:rFonts w:hint="eastAsia" w:ascii="宋体" w:hAnsi="宋体" w:cs="宋体"/>
          <w:color w:val="000000"/>
          <w:sz w:val="24"/>
        </w:rPr>
        <w:t>日至1</w:t>
      </w:r>
      <w:r>
        <w:rPr>
          <w:rFonts w:hint="eastAsia" w:ascii="宋体" w:hAnsi="宋体" w:cs="宋体"/>
          <w:color w:val="000000"/>
          <w:sz w:val="24"/>
          <w:lang w:val="en-US" w:eastAsia="zh-CN"/>
        </w:rPr>
        <w:t>0</w:t>
      </w:r>
      <w:r>
        <w:rPr>
          <w:rFonts w:hint="eastAsia" w:ascii="宋体" w:hAnsi="宋体" w:cs="宋体"/>
          <w:color w:val="000000"/>
          <w:sz w:val="24"/>
        </w:rPr>
        <w:t>月</w:t>
      </w:r>
      <w:r>
        <w:rPr>
          <w:rFonts w:hint="eastAsia" w:ascii="宋体" w:hAnsi="宋体" w:cs="宋体"/>
          <w:color w:val="000000"/>
          <w:sz w:val="24"/>
          <w:lang w:val="en-US" w:eastAsia="zh-CN"/>
        </w:rPr>
        <w:t>17</w:t>
      </w:r>
      <w:r>
        <w:rPr>
          <w:rFonts w:hint="eastAsia" w:ascii="宋体" w:hAnsi="宋体" w:cs="宋体"/>
          <w:color w:val="000000"/>
          <w:sz w:val="24"/>
        </w:rPr>
        <w:t>日在</w:t>
      </w:r>
      <w:r>
        <w:rPr>
          <w:rFonts w:hint="eastAsia" w:ascii="宋体" w:hAnsi="宋体" w:cs="宋体"/>
          <w:color w:val="000000"/>
          <w:sz w:val="24"/>
          <w:lang w:eastAsia="zh-CN"/>
        </w:rPr>
        <w:t>辽宁</w:t>
      </w:r>
      <w:r>
        <w:rPr>
          <w:rFonts w:hint="eastAsia" w:ascii="宋体" w:hAnsi="宋体" w:cs="宋体"/>
          <w:color w:val="000000"/>
          <w:sz w:val="24"/>
        </w:rPr>
        <w:t>省</w:t>
      </w:r>
      <w:r>
        <w:rPr>
          <w:rFonts w:hint="eastAsia" w:ascii="宋体" w:hAnsi="宋体" w:cs="宋体"/>
          <w:color w:val="000000"/>
          <w:sz w:val="24"/>
          <w:lang w:eastAsia="zh-CN"/>
        </w:rPr>
        <w:t>沈阳</w:t>
      </w:r>
      <w:r>
        <w:rPr>
          <w:rFonts w:hint="eastAsia" w:ascii="宋体" w:hAnsi="宋体" w:cs="宋体"/>
          <w:color w:val="000000"/>
          <w:sz w:val="24"/>
        </w:rPr>
        <w:t>市召开</w:t>
      </w:r>
      <w:r>
        <w:rPr>
          <w:rFonts w:hint="eastAsia" w:cs="宋体"/>
          <w:color w:val="000000"/>
          <w:sz w:val="24"/>
        </w:rPr>
        <w:t>全国电气工程领域工程专业</w:t>
      </w:r>
      <w:r>
        <w:rPr>
          <w:rFonts w:cs="宋体"/>
          <w:color w:val="000000"/>
          <w:sz w:val="24"/>
        </w:rPr>
        <w:t>学位研究生</w:t>
      </w:r>
      <w:r>
        <w:rPr>
          <w:rFonts w:hint="eastAsia" w:cs="宋体"/>
          <w:color w:val="000000"/>
          <w:sz w:val="24"/>
        </w:rPr>
        <w:t>教育协作组第十</w:t>
      </w:r>
      <w:r>
        <w:rPr>
          <w:rFonts w:hint="eastAsia" w:cs="宋体"/>
          <w:color w:val="000000"/>
          <w:sz w:val="24"/>
          <w:lang w:eastAsia="zh-CN"/>
        </w:rPr>
        <w:t>三</w:t>
      </w:r>
      <w:r>
        <w:rPr>
          <w:rFonts w:hint="eastAsia" w:cs="宋体"/>
          <w:color w:val="000000"/>
          <w:sz w:val="24"/>
        </w:rPr>
        <w:t>次工作会议</w:t>
      </w:r>
      <w:r>
        <w:rPr>
          <w:rFonts w:hint="eastAsia" w:ascii="宋体" w:hAnsi="宋体" w:cs="宋体"/>
          <w:color w:val="000000"/>
          <w:sz w:val="24"/>
        </w:rPr>
        <w:t>。根据201</w:t>
      </w:r>
      <w:r>
        <w:rPr>
          <w:rFonts w:hint="eastAsia" w:ascii="宋体" w:hAnsi="宋体" w:cs="宋体"/>
          <w:color w:val="000000"/>
          <w:sz w:val="24"/>
          <w:lang w:val="en-US" w:eastAsia="zh-CN"/>
        </w:rPr>
        <w:t>6</w:t>
      </w:r>
      <w:r>
        <w:rPr>
          <w:rFonts w:hint="eastAsia" w:ascii="宋体" w:hAnsi="宋体" w:cs="宋体"/>
          <w:color w:val="000000"/>
          <w:sz w:val="24"/>
        </w:rPr>
        <w:t>年10月在江苏省徐州市召开的</w:t>
      </w:r>
      <w:r>
        <w:rPr>
          <w:rFonts w:hint="eastAsia" w:cs="宋体"/>
          <w:color w:val="000000"/>
          <w:sz w:val="24"/>
        </w:rPr>
        <w:t>全国电气工程领域工程专业</w:t>
      </w:r>
      <w:r>
        <w:rPr>
          <w:rFonts w:cs="宋体"/>
          <w:color w:val="000000"/>
          <w:sz w:val="24"/>
        </w:rPr>
        <w:t>学位研究生</w:t>
      </w:r>
      <w:r>
        <w:rPr>
          <w:rFonts w:hint="eastAsia" w:cs="宋体"/>
          <w:color w:val="000000"/>
          <w:sz w:val="24"/>
        </w:rPr>
        <w:t>教育协作组第十</w:t>
      </w:r>
      <w:r>
        <w:rPr>
          <w:rFonts w:hint="eastAsia" w:cs="宋体"/>
          <w:color w:val="000000"/>
          <w:sz w:val="24"/>
          <w:lang w:eastAsia="zh-CN"/>
        </w:rPr>
        <w:t>二</w:t>
      </w:r>
      <w:r>
        <w:rPr>
          <w:rFonts w:hint="eastAsia" w:cs="宋体"/>
          <w:color w:val="000000"/>
          <w:sz w:val="24"/>
        </w:rPr>
        <w:t>次工作会议</w:t>
      </w:r>
      <w:r>
        <w:rPr>
          <w:rFonts w:hint="eastAsia" w:ascii="宋体" w:hAnsi="宋体" w:cs="宋体"/>
          <w:color w:val="000000"/>
          <w:sz w:val="24"/>
        </w:rPr>
        <w:t>的决定，本次会议由</w:t>
      </w:r>
      <w:r>
        <w:rPr>
          <w:rFonts w:hint="eastAsia" w:ascii="宋体" w:hAnsi="宋体" w:cs="宋体"/>
          <w:color w:val="000000"/>
          <w:sz w:val="24"/>
          <w:lang w:eastAsia="zh-CN"/>
        </w:rPr>
        <w:t>沈阳工程学院</w:t>
      </w:r>
      <w:r>
        <w:rPr>
          <w:rFonts w:hint="eastAsia" w:ascii="宋体" w:hAnsi="宋体" w:cs="宋体"/>
          <w:color w:val="000000"/>
          <w:sz w:val="24"/>
        </w:rPr>
        <w:t>承办。请各培养单位选派电气工程领域工程专业</w:t>
      </w:r>
      <w:r>
        <w:rPr>
          <w:rFonts w:ascii="宋体" w:hAnsi="宋体" w:cs="宋体"/>
          <w:color w:val="000000"/>
          <w:sz w:val="24"/>
        </w:rPr>
        <w:t>学位研究生</w:t>
      </w:r>
      <w:r>
        <w:rPr>
          <w:rFonts w:hint="eastAsia" w:ascii="宋体" w:hAnsi="宋体" w:cs="宋体"/>
          <w:color w:val="000000"/>
          <w:sz w:val="24"/>
        </w:rPr>
        <w:t>培养有关负责人、管理人员和承担培养任务的教师参加会议。</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现就会议有关事项通知如下:</w:t>
      </w:r>
    </w:p>
    <w:p>
      <w:pPr>
        <w:tabs>
          <w:tab w:val="left" w:pos="965"/>
        </w:tabs>
        <w:adjustRightInd w:val="0"/>
        <w:snapToGrid w:val="0"/>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（一）会议日程</w:t>
      </w:r>
    </w:p>
    <w:p>
      <w:pPr>
        <w:tabs>
          <w:tab w:val="left" w:pos="965"/>
        </w:tabs>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报到时间：</w:t>
      </w:r>
      <w:r>
        <w:rPr>
          <w:rFonts w:ascii="宋体" w:hAnsi="宋体" w:cs="宋体"/>
          <w:color w:val="000000"/>
          <w:sz w:val="24"/>
        </w:rPr>
        <w:t>20</w:t>
      </w:r>
      <w:r>
        <w:rPr>
          <w:rFonts w:hint="eastAsia" w:ascii="宋体" w:hAnsi="宋体" w:cs="宋体"/>
          <w:color w:val="000000"/>
          <w:sz w:val="24"/>
        </w:rPr>
        <w:t>1</w:t>
      </w:r>
      <w:r>
        <w:rPr>
          <w:rFonts w:hint="eastAsia" w:ascii="宋体" w:hAnsi="宋体" w:cs="宋体"/>
          <w:color w:val="000000"/>
          <w:sz w:val="24"/>
          <w:lang w:val="en-US" w:eastAsia="zh-CN"/>
        </w:rPr>
        <w:t>7</w:t>
      </w:r>
      <w:r>
        <w:rPr>
          <w:rFonts w:hint="eastAsia" w:ascii="宋体" w:hAnsi="宋体" w:cs="宋体"/>
          <w:color w:val="000000"/>
          <w:sz w:val="24"/>
        </w:rPr>
        <w:t>年1</w:t>
      </w:r>
      <w:r>
        <w:rPr>
          <w:rFonts w:hint="eastAsia" w:ascii="宋体" w:hAnsi="宋体" w:cs="宋体"/>
          <w:color w:val="000000"/>
          <w:sz w:val="24"/>
          <w:lang w:val="en-US" w:eastAsia="zh-CN"/>
        </w:rPr>
        <w:t>0</w:t>
      </w:r>
      <w:r>
        <w:rPr>
          <w:rFonts w:hint="eastAsia" w:ascii="宋体" w:hAnsi="宋体" w:cs="宋体"/>
          <w:color w:val="000000"/>
          <w:sz w:val="24"/>
        </w:rPr>
        <w:t>月1</w:t>
      </w:r>
      <w:r>
        <w:rPr>
          <w:rFonts w:hint="eastAsia" w:ascii="宋体" w:hAnsi="宋体" w:cs="宋体"/>
          <w:color w:val="000000"/>
          <w:sz w:val="24"/>
          <w:lang w:val="en-US" w:eastAsia="zh-CN"/>
        </w:rPr>
        <w:t>5</w:t>
      </w:r>
      <w:r>
        <w:rPr>
          <w:rFonts w:hint="eastAsia" w:ascii="宋体" w:hAnsi="宋体" w:cs="宋体"/>
          <w:color w:val="000000"/>
          <w:sz w:val="24"/>
        </w:rPr>
        <w:t>日全天</w:t>
      </w:r>
      <w:r>
        <w:rPr>
          <w:rFonts w:ascii="宋体" w:hAnsi="宋体" w:cs="宋体"/>
          <w:color w:val="000000"/>
          <w:sz w:val="24"/>
        </w:rPr>
        <w:t xml:space="preserve"> </w:t>
      </w:r>
    </w:p>
    <w:p>
      <w:pPr>
        <w:tabs>
          <w:tab w:val="left" w:pos="965"/>
        </w:tabs>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会议时间：</w:t>
      </w:r>
      <w:r>
        <w:rPr>
          <w:rFonts w:ascii="宋体" w:hAnsi="宋体" w:cs="宋体"/>
          <w:color w:val="000000"/>
          <w:sz w:val="24"/>
        </w:rPr>
        <w:t>20</w:t>
      </w:r>
      <w:r>
        <w:rPr>
          <w:rFonts w:hint="eastAsia" w:ascii="宋体" w:hAnsi="宋体" w:cs="宋体"/>
          <w:color w:val="000000"/>
          <w:sz w:val="24"/>
        </w:rPr>
        <w:t>1</w:t>
      </w:r>
      <w:r>
        <w:rPr>
          <w:rFonts w:hint="eastAsia" w:ascii="宋体" w:hAnsi="宋体" w:cs="宋体"/>
          <w:color w:val="000000"/>
          <w:sz w:val="24"/>
          <w:lang w:val="en-US" w:eastAsia="zh-CN"/>
        </w:rPr>
        <w:t>7</w:t>
      </w:r>
      <w:r>
        <w:rPr>
          <w:rFonts w:hint="eastAsia" w:ascii="宋体" w:hAnsi="宋体" w:cs="宋体"/>
          <w:color w:val="000000"/>
          <w:sz w:val="24"/>
        </w:rPr>
        <w:t>年1</w:t>
      </w:r>
      <w:r>
        <w:rPr>
          <w:rFonts w:hint="eastAsia" w:ascii="宋体" w:hAnsi="宋体" w:cs="宋体"/>
          <w:color w:val="000000"/>
          <w:sz w:val="24"/>
          <w:lang w:val="en-US" w:eastAsia="zh-CN"/>
        </w:rPr>
        <w:t>0</w:t>
      </w:r>
      <w:r>
        <w:rPr>
          <w:rFonts w:hint="eastAsia" w:ascii="宋体" w:hAnsi="宋体" w:cs="宋体"/>
          <w:color w:val="000000"/>
          <w:sz w:val="24"/>
        </w:rPr>
        <w:t>月1</w:t>
      </w:r>
      <w:r>
        <w:rPr>
          <w:rFonts w:hint="eastAsia" w:ascii="宋体" w:hAnsi="宋体" w:cs="宋体"/>
          <w:color w:val="000000"/>
          <w:sz w:val="24"/>
          <w:lang w:val="en-US" w:eastAsia="zh-CN"/>
        </w:rPr>
        <w:t>6</w:t>
      </w:r>
      <w:r>
        <w:rPr>
          <w:rFonts w:hint="eastAsia" w:ascii="宋体" w:hAnsi="宋体" w:cs="宋体"/>
          <w:color w:val="000000"/>
          <w:sz w:val="24"/>
        </w:rPr>
        <w:t>日～1</w:t>
      </w:r>
      <w:r>
        <w:rPr>
          <w:rFonts w:hint="eastAsia" w:ascii="宋体" w:hAnsi="宋体" w:cs="宋体"/>
          <w:color w:val="000000"/>
          <w:sz w:val="24"/>
          <w:lang w:val="en-US" w:eastAsia="zh-CN"/>
        </w:rPr>
        <w:t>0</w:t>
      </w:r>
      <w:r>
        <w:rPr>
          <w:rFonts w:hint="eastAsia" w:ascii="宋体" w:hAnsi="宋体" w:cs="宋体"/>
          <w:color w:val="000000"/>
          <w:sz w:val="24"/>
        </w:rPr>
        <w:t>月</w:t>
      </w:r>
      <w:r>
        <w:rPr>
          <w:rFonts w:hint="eastAsia" w:ascii="宋体" w:hAnsi="宋体" w:cs="宋体"/>
          <w:color w:val="000000"/>
          <w:sz w:val="24"/>
          <w:lang w:val="en-US" w:eastAsia="zh-CN"/>
        </w:rPr>
        <w:t>17</w:t>
      </w:r>
      <w:r>
        <w:rPr>
          <w:rFonts w:hint="eastAsia" w:ascii="宋体" w:hAnsi="宋体" w:cs="宋体"/>
          <w:color w:val="000000"/>
          <w:sz w:val="24"/>
        </w:rPr>
        <w:t>日</w:t>
      </w:r>
    </w:p>
    <w:p>
      <w:pPr>
        <w:tabs>
          <w:tab w:val="left" w:pos="965"/>
        </w:tabs>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会议地点：</w:t>
      </w:r>
      <w:r>
        <w:rPr>
          <w:rFonts w:hint="eastAsia" w:ascii="宋体" w:hAnsi="宋体" w:cs="宋体"/>
          <w:sz w:val="24"/>
          <w:lang w:eastAsia="zh-CN"/>
        </w:rPr>
        <w:t>辽宁大厦</w:t>
      </w:r>
      <w:r>
        <w:rPr>
          <w:rFonts w:hint="eastAsia" w:ascii="宋体" w:hAnsi="宋体" w:cs="宋体"/>
          <w:sz w:val="24"/>
        </w:rPr>
        <w:t>(</w:t>
      </w:r>
      <w:r>
        <w:rPr>
          <w:rFonts w:hint="eastAsia" w:ascii="宋体" w:hAnsi="宋体" w:cs="宋体"/>
          <w:sz w:val="24"/>
          <w:lang w:eastAsia="zh-CN"/>
        </w:rPr>
        <w:t>沈阳市</w:t>
      </w:r>
      <w:r>
        <w:rPr>
          <w:rFonts w:hint="eastAsia" w:ascii="宋体" w:hAnsi="宋体" w:cs="宋体"/>
          <w:sz w:val="24"/>
        </w:rPr>
        <w:t>皇姑区黄河南大街105号)</w:t>
      </w:r>
    </w:p>
    <w:p>
      <w:pPr>
        <w:tabs>
          <w:tab w:val="left" w:pos="965"/>
        </w:tabs>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详细日程安排：</w:t>
      </w:r>
    </w:p>
    <w:p>
      <w:pPr>
        <w:tabs>
          <w:tab w:val="left" w:pos="965"/>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201</w:t>
      </w:r>
      <w:r>
        <w:rPr>
          <w:rFonts w:hint="eastAsia" w:ascii="宋体" w:hAnsi="宋体" w:cs="宋体"/>
          <w:sz w:val="24"/>
          <w:lang w:val="en-US" w:eastAsia="zh-CN"/>
        </w:rPr>
        <w:t>7</w:t>
      </w:r>
      <w:r>
        <w:rPr>
          <w:rFonts w:hint="eastAsia" w:ascii="宋体" w:hAnsi="宋体" w:cs="宋体"/>
          <w:sz w:val="24"/>
        </w:rPr>
        <w:t>年1</w:t>
      </w:r>
      <w:r>
        <w:rPr>
          <w:rFonts w:hint="eastAsia" w:ascii="宋体" w:hAnsi="宋体" w:cs="宋体"/>
          <w:sz w:val="24"/>
          <w:lang w:val="en-US" w:eastAsia="zh-CN"/>
        </w:rPr>
        <w:t>0</w:t>
      </w:r>
      <w:r>
        <w:rPr>
          <w:rFonts w:hint="eastAsia" w:ascii="宋体" w:hAnsi="宋体" w:cs="宋体"/>
          <w:sz w:val="24"/>
        </w:rPr>
        <w:t>月</w:t>
      </w:r>
      <w:r>
        <w:rPr>
          <w:rFonts w:ascii="宋体" w:hAnsi="宋体" w:cs="宋体"/>
          <w:sz w:val="24"/>
        </w:rPr>
        <w:t>1</w:t>
      </w:r>
      <w:r>
        <w:rPr>
          <w:rFonts w:hint="eastAsia" w:ascii="宋体" w:hAnsi="宋体" w:cs="宋体"/>
          <w:sz w:val="24"/>
          <w:lang w:val="en-US" w:eastAsia="zh-CN"/>
        </w:rPr>
        <w:t>6</w:t>
      </w:r>
      <w:r>
        <w:rPr>
          <w:rFonts w:hint="eastAsia" w:ascii="宋体" w:hAnsi="宋体" w:cs="宋体"/>
          <w:sz w:val="24"/>
        </w:rPr>
        <w:t>日，学术交流和专家报告；经验交流及研讨。</w:t>
      </w:r>
    </w:p>
    <w:p>
      <w:pPr>
        <w:tabs>
          <w:tab w:val="left" w:pos="965"/>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201</w:t>
      </w:r>
      <w:r>
        <w:rPr>
          <w:rFonts w:hint="eastAsia" w:ascii="宋体" w:hAnsi="宋体" w:cs="宋体"/>
          <w:sz w:val="24"/>
          <w:lang w:val="en-US" w:eastAsia="zh-CN"/>
        </w:rPr>
        <w:t>7</w:t>
      </w:r>
      <w:r>
        <w:rPr>
          <w:rFonts w:hint="eastAsia" w:ascii="宋体" w:hAnsi="宋体" w:cs="宋体"/>
          <w:sz w:val="24"/>
        </w:rPr>
        <w:t>年1</w:t>
      </w:r>
      <w:r>
        <w:rPr>
          <w:rFonts w:hint="eastAsia" w:ascii="宋体" w:hAnsi="宋体" w:cs="宋体"/>
          <w:sz w:val="24"/>
          <w:lang w:val="en-US" w:eastAsia="zh-CN"/>
        </w:rPr>
        <w:t>0</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日，参观考察。</w:t>
      </w:r>
    </w:p>
    <w:p>
      <w:pPr>
        <w:tabs>
          <w:tab w:val="left" w:pos="965"/>
        </w:tabs>
        <w:adjustRightInd w:val="0"/>
        <w:snapToGrid w:val="0"/>
        <w:spacing w:line="360" w:lineRule="auto"/>
        <w:ind w:firstLine="482" w:firstLineChars="200"/>
        <w:outlineLvl w:val="0"/>
        <w:rPr>
          <w:rFonts w:hint="eastAsia" w:ascii="宋体" w:hAnsi="宋体" w:cs="宋体"/>
          <w:b/>
          <w:bCs/>
          <w:sz w:val="24"/>
        </w:rPr>
      </w:pPr>
      <w:r>
        <w:rPr>
          <w:rFonts w:hint="eastAsia" w:ascii="宋体" w:hAnsi="宋体" w:cs="宋体"/>
          <w:b/>
          <w:bCs/>
          <w:sz w:val="24"/>
        </w:rPr>
        <w:t>（二）会议议题</w:t>
      </w:r>
    </w:p>
    <w:p>
      <w:pPr>
        <w:tabs>
          <w:tab w:val="left" w:pos="965"/>
        </w:tabs>
        <w:adjustRightInd w:val="0"/>
        <w:snapToGrid w:val="0"/>
        <w:spacing w:line="360" w:lineRule="auto"/>
        <w:ind w:left="839" w:leftChars="228" w:hanging="360" w:hangingChars="150"/>
        <w:rPr>
          <w:rFonts w:hint="eastAsia" w:ascii="宋体" w:hAnsi="宋体" w:cs="宋体"/>
          <w:sz w:val="24"/>
        </w:rPr>
      </w:pPr>
      <w:r>
        <w:rPr>
          <w:rFonts w:hint="eastAsia" w:ascii="宋体" w:hAnsi="宋体" w:cs="宋体"/>
          <w:sz w:val="24"/>
        </w:rPr>
        <w:t>1.</w:t>
      </w:r>
      <w:r>
        <w:rPr>
          <w:rFonts w:ascii="宋体" w:hAnsi="宋体" w:cs="宋体"/>
          <w:sz w:val="24"/>
        </w:rPr>
        <w:t xml:space="preserve"> 传达全国</w:t>
      </w:r>
      <w:r>
        <w:rPr>
          <w:rFonts w:hint="eastAsia" w:ascii="宋体" w:hAnsi="宋体" w:cs="宋体"/>
          <w:sz w:val="24"/>
        </w:rPr>
        <w:t>工程专业学位研究生教育指导委员会</w:t>
      </w:r>
      <w:r>
        <w:rPr>
          <w:rFonts w:ascii="宋体" w:hAnsi="宋体" w:cs="宋体"/>
          <w:sz w:val="24"/>
        </w:rPr>
        <w:t>近期的工作要求和最新精神</w:t>
      </w:r>
      <w:r>
        <w:rPr>
          <w:rFonts w:hint="eastAsia" w:ascii="宋体" w:hAnsi="宋体" w:cs="宋体"/>
          <w:sz w:val="24"/>
        </w:rPr>
        <w:t>；</w:t>
      </w:r>
    </w:p>
    <w:p>
      <w:pPr>
        <w:adjustRightInd w:val="0"/>
        <w:snapToGrid w:val="0"/>
        <w:spacing w:line="360" w:lineRule="auto"/>
        <w:ind w:firstLine="480"/>
        <w:rPr>
          <w:rFonts w:hint="eastAsia" w:ascii="宋体" w:hAnsi="宋体" w:cs="宋体"/>
          <w:sz w:val="24"/>
        </w:rPr>
      </w:pPr>
      <w:r>
        <w:rPr>
          <w:rFonts w:hint="eastAsia" w:ascii="宋体" w:hAnsi="宋体" w:cs="宋体"/>
          <w:sz w:val="24"/>
        </w:rPr>
        <w:t>2. 电气工程领域工程硕士培养经验交流及研讨。</w:t>
      </w:r>
    </w:p>
    <w:p>
      <w:pPr>
        <w:adjustRightInd w:val="0"/>
        <w:snapToGrid w:val="0"/>
        <w:spacing w:line="360" w:lineRule="auto"/>
        <w:ind w:firstLine="472" w:firstLineChars="196"/>
        <w:rPr>
          <w:rFonts w:ascii="宋体" w:hAnsi="宋体" w:cs="宋体"/>
          <w:b/>
          <w:color w:val="000000"/>
          <w:sz w:val="24"/>
        </w:rPr>
      </w:pPr>
      <w:r>
        <w:rPr>
          <w:rFonts w:ascii="宋体" w:hAnsi="宋体" w:cs="宋体"/>
          <w:b/>
          <w:color w:val="000000"/>
          <w:sz w:val="24"/>
        </w:rPr>
        <w:t>(</w:t>
      </w:r>
      <w:r>
        <w:rPr>
          <w:rFonts w:hint="eastAsia" w:ascii="宋体" w:hAnsi="宋体" w:cs="宋体"/>
          <w:b/>
          <w:color w:val="000000"/>
          <w:sz w:val="24"/>
        </w:rPr>
        <w:t>三</w:t>
      </w:r>
      <w:r>
        <w:rPr>
          <w:rFonts w:ascii="宋体" w:hAnsi="宋体" w:cs="宋体"/>
          <w:b/>
          <w:color w:val="000000"/>
          <w:sz w:val="24"/>
        </w:rPr>
        <w:t xml:space="preserve">) </w:t>
      </w:r>
      <w:r>
        <w:rPr>
          <w:rFonts w:hint="eastAsia" w:ascii="宋体" w:hAnsi="宋体" w:cs="宋体"/>
          <w:b/>
          <w:color w:val="000000"/>
          <w:sz w:val="24"/>
        </w:rPr>
        <w:t>其他事宜</w:t>
      </w:r>
    </w:p>
    <w:p>
      <w:pPr>
        <w:numPr>
          <w:ilvl w:val="0"/>
          <w:numId w:val="1"/>
        </w:numPr>
        <w:adjustRightInd w:val="0"/>
        <w:snapToGrid w:val="0"/>
        <w:spacing w:line="360" w:lineRule="auto"/>
        <w:rPr>
          <w:rFonts w:hint="eastAsia" w:ascii="宋体" w:hAnsi="宋体" w:cs="宋体"/>
          <w:color w:val="000000"/>
          <w:sz w:val="24"/>
        </w:rPr>
      </w:pPr>
      <w:r>
        <w:rPr>
          <w:rFonts w:hint="eastAsia" w:ascii="宋体" w:hAnsi="宋体" w:cs="宋体"/>
          <w:color w:val="000000"/>
          <w:sz w:val="24"/>
        </w:rPr>
        <w:t>会议报到住宿地点：</w:t>
      </w:r>
      <w:r>
        <w:rPr>
          <w:rFonts w:hint="eastAsia" w:ascii="宋体" w:hAnsi="宋体" w:cs="宋体"/>
          <w:color w:val="000000"/>
          <w:sz w:val="24"/>
          <w:lang w:eastAsia="zh-CN"/>
        </w:rPr>
        <w:t>辽宁大厦</w:t>
      </w:r>
    </w:p>
    <w:p>
      <w:pPr>
        <w:numPr>
          <w:ilvl w:val="0"/>
          <w:numId w:val="1"/>
        </w:numPr>
        <w:adjustRightInd w:val="0"/>
        <w:snapToGrid w:val="0"/>
        <w:spacing w:line="360" w:lineRule="auto"/>
        <w:rPr>
          <w:rFonts w:hint="eastAsia" w:ascii="宋体" w:hAnsi="宋体" w:cs="宋体"/>
          <w:color w:val="000000"/>
          <w:sz w:val="24"/>
        </w:rPr>
      </w:pPr>
      <w:r>
        <w:rPr>
          <w:rFonts w:hint="eastAsia" w:ascii="宋体" w:hAnsi="宋体" w:cs="宋体"/>
          <w:color w:val="000000"/>
          <w:sz w:val="24"/>
        </w:rPr>
        <w:t>请各位与会代表于201</w:t>
      </w:r>
      <w:r>
        <w:rPr>
          <w:rFonts w:hint="eastAsia" w:ascii="宋体" w:hAnsi="宋体" w:cs="宋体"/>
          <w:color w:val="000000"/>
          <w:sz w:val="24"/>
          <w:lang w:val="en-US" w:eastAsia="zh-CN"/>
        </w:rPr>
        <w:t>7</w:t>
      </w:r>
      <w:r>
        <w:rPr>
          <w:rFonts w:hint="eastAsia" w:ascii="宋体" w:hAnsi="宋体" w:cs="宋体"/>
          <w:color w:val="000000"/>
          <w:sz w:val="24"/>
        </w:rPr>
        <w:t>年</w:t>
      </w:r>
      <w:r>
        <w:rPr>
          <w:rFonts w:hint="eastAsia" w:ascii="宋体" w:hAnsi="宋体" w:cs="宋体"/>
          <w:color w:val="000000"/>
          <w:sz w:val="24"/>
          <w:lang w:val="en-US" w:eastAsia="zh-CN"/>
        </w:rPr>
        <w:t>9</w:t>
      </w:r>
      <w:r>
        <w:rPr>
          <w:rFonts w:hint="eastAsia" w:ascii="宋体" w:hAnsi="宋体" w:cs="宋体"/>
          <w:color w:val="000000"/>
          <w:sz w:val="24"/>
        </w:rPr>
        <w:t>月</w:t>
      </w:r>
      <w:r>
        <w:rPr>
          <w:rFonts w:hint="eastAsia" w:ascii="宋体" w:hAnsi="宋体" w:cs="宋体"/>
          <w:color w:val="000000"/>
          <w:sz w:val="24"/>
          <w:lang w:val="en-US" w:eastAsia="zh-CN"/>
        </w:rPr>
        <w:t>25</w:t>
      </w:r>
      <w:r>
        <w:rPr>
          <w:rFonts w:hint="eastAsia" w:ascii="宋体" w:hAnsi="宋体" w:cs="宋体"/>
          <w:color w:val="000000"/>
          <w:sz w:val="24"/>
        </w:rPr>
        <w:t>日之前，以传真、电子邮件、信件等方式予以回执，明确参会人员。</w:t>
      </w:r>
    </w:p>
    <w:p>
      <w:pPr>
        <w:numPr>
          <w:ilvl w:val="0"/>
          <w:numId w:val="1"/>
        </w:numPr>
        <w:adjustRightInd w:val="0"/>
        <w:snapToGrid w:val="0"/>
        <w:spacing w:line="360" w:lineRule="auto"/>
        <w:rPr>
          <w:rFonts w:hint="eastAsia" w:ascii="宋体" w:hAnsi="宋体" w:cs="宋体"/>
          <w:color w:val="000000"/>
          <w:sz w:val="24"/>
        </w:rPr>
      </w:pPr>
      <w:r>
        <w:rPr>
          <w:rFonts w:hint="eastAsia" w:ascii="宋体" w:hAnsi="宋体" w:cs="宋体"/>
          <w:color w:val="000000"/>
          <w:sz w:val="24"/>
        </w:rPr>
        <w:t>会务费：每人800元，食宿自理</w:t>
      </w:r>
      <w:r>
        <w:rPr>
          <w:rFonts w:hint="eastAsia" w:ascii="宋体" w:hAnsi="宋体" w:cs="宋体"/>
          <w:color w:val="000000"/>
          <w:sz w:val="24"/>
          <w:lang w:eastAsia="zh-CN"/>
        </w:rPr>
        <w:t>。</w:t>
      </w:r>
      <w:r>
        <w:rPr>
          <w:rFonts w:hint="eastAsia" w:ascii="宋体" w:hAnsi="宋体" w:cs="宋体"/>
          <w:color w:val="000000"/>
          <w:sz w:val="24"/>
        </w:rPr>
        <w:t>注</w:t>
      </w:r>
      <w:r>
        <w:rPr>
          <w:rFonts w:ascii="宋体" w:hAnsi="宋体" w:cs="宋体"/>
          <w:color w:val="000000"/>
          <w:sz w:val="24"/>
        </w:rPr>
        <w:t>：</w:t>
      </w:r>
      <w:r>
        <w:rPr>
          <w:rFonts w:hint="eastAsia" w:ascii="宋体" w:hAnsi="宋体" w:cs="宋体"/>
          <w:color w:val="000000"/>
          <w:sz w:val="24"/>
        </w:rPr>
        <w:t>会务</w:t>
      </w:r>
      <w:r>
        <w:rPr>
          <w:rFonts w:ascii="宋体" w:hAnsi="宋体" w:cs="宋体"/>
          <w:color w:val="000000"/>
          <w:sz w:val="24"/>
        </w:rPr>
        <w:t>费由</w:t>
      </w:r>
      <w:r>
        <w:rPr>
          <w:rFonts w:hint="eastAsia"/>
          <w:color w:val="000000"/>
          <w:sz w:val="24"/>
          <w:lang w:eastAsia="zh-CN"/>
        </w:rPr>
        <w:t>德维斯国际展览（北京）</w:t>
      </w:r>
      <w:r>
        <w:rPr>
          <w:rFonts w:hint="eastAsia"/>
          <w:color w:val="000000"/>
          <w:sz w:val="24"/>
        </w:rPr>
        <w:t>有限公司开具发票</w:t>
      </w:r>
      <w:r>
        <w:rPr>
          <w:rFonts w:hint="eastAsia" w:ascii="宋体" w:hAnsi="宋体" w:cs="宋体"/>
          <w:color w:val="000000"/>
          <w:sz w:val="24"/>
        </w:rPr>
        <w:t>。</w:t>
      </w:r>
    </w:p>
    <w:p>
      <w:pPr>
        <w:numPr>
          <w:ilvl w:val="0"/>
          <w:numId w:val="1"/>
        </w:numPr>
        <w:adjustRightInd w:val="0"/>
        <w:snapToGrid w:val="0"/>
        <w:spacing w:line="360" w:lineRule="auto"/>
        <w:rPr>
          <w:rFonts w:hint="eastAsia" w:ascii="宋体" w:hAnsi="宋体" w:cs="宋体"/>
          <w:color w:val="000000"/>
          <w:sz w:val="24"/>
        </w:rPr>
      </w:pPr>
      <w:r>
        <w:rPr>
          <w:rFonts w:hint="eastAsia" w:ascii="宋体" w:hAnsi="宋体" w:cs="宋体"/>
          <w:color w:val="000000"/>
          <w:sz w:val="24"/>
        </w:rPr>
        <w:t>乘车路线参考：</w:t>
      </w:r>
    </w:p>
    <w:p>
      <w:pPr>
        <w:adjustRightInd w:val="0"/>
        <w:snapToGrid w:val="0"/>
        <w:spacing w:line="360" w:lineRule="auto"/>
        <w:ind w:firstLine="592" w:firstLineChars="247"/>
        <w:outlineLvl w:val="0"/>
        <w:rPr>
          <w:rFonts w:hint="eastAsia" w:ascii="宋体" w:hAnsi="宋体" w:cs="宋体"/>
          <w:b w:val="0"/>
          <w:bCs/>
          <w:color w:val="000000"/>
          <w:sz w:val="24"/>
          <w:lang w:val="zh-CN"/>
        </w:rPr>
      </w:pPr>
      <w:r>
        <w:rPr>
          <w:rFonts w:hint="eastAsia" w:ascii="宋体" w:hAnsi="宋体" w:cs="宋体"/>
          <w:b w:val="0"/>
          <w:bCs/>
          <w:color w:val="000000"/>
          <w:sz w:val="24"/>
          <w:lang w:eastAsia="zh-CN"/>
        </w:rPr>
        <w:t>（</w:t>
      </w:r>
      <w:r>
        <w:rPr>
          <w:rFonts w:hint="eastAsia" w:ascii="宋体" w:hAnsi="宋体" w:cs="宋体"/>
          <w:b w:val="0"/>
          <w:bCs/>
          <w:color w:val="000000"/>
          <w:sz w:val="24"/>
          <w:lang w:val="en-US" w:eastAsia="zh-CN"/>
        </w:rPr>
        <w:t>1</w:t>
      </w:r>
      <w:r>
        <w:rPr>
          <w:rFonts w:hint="eastAsia" w:ascii="宋体" w:hAnsi="宋体" w:cs="宋体"/>
          <w:b w:val="0"/>
          <w:bCs/>
          <w:color w:val="000000"/>
          <w:sz w:val="24"/>
          <w:lang w:eastAsia="zh-CN"/>
        </w:rPr>
        <w:t>）</w:t>
      </w:r>
      <w:r>
        <w:rPr>
          <w:rFonts w:hint="eastAsia" w:ascii="宋体" w:hAnsi="宋体" w:cs="宋体"/>
          <w:b w:val="0"/>
          <w:bCs/>
          <w:color w:val="000000"/>
          <w:sz w:val="24"/>
          <w:lang w:val="zh-CN"/>
        </w:rPr>
        <w:t>沈阳北站/虎跃汽车客运站至辽宁大厦：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1070" w:firstLineChars="446"/>
        <w:jc w:val="both"/>
        <w:textAlignment w:val="auto"/>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①从沈阳北站地铁站上车，乘地铁二号线（开往沈阳航空航天大学）在北陵公园站下车，步行约五百米到辽宁大厦。用时约20分钟，乘车费用2元。</w:t>
      </w:r>
    </w:p>
    <w:p>
      <w:pPr>
        <w:adjustRightInd w:val="0"/>
        <w:snapToGrid w:val="0"/>
        <w:spacing w:line="360" w:lineRule="auto"/>
        <w:ind w:firstLine="1072" w:firstLineChars="4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②打车约14分钟，乘车费用11元。</w:t>
      </w:r>
    </w:p>
    <w:p>
      <w:pPr>
        <w:adjustRightInd w:val="0"/>
        <w:snapToGrid w:val="0"/>
        <w:spacing w:line="360" w:lineRule="auto"/>
        <w:ind w:firstLine="592" w:firstLineChars="2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w:t>
      </w:r>
      <w:r>
        <w:rPr>
          <w:rFonts w:hint="eastAsia" w:ascii="宋体" w:hAnsi="宋体" w:cs="宋体"/>
          <w:b w:val="0"/>
          <w:bCs/>
          <w:color w:val="000000"/>
          <w:sz w:val="24"/>
          <w:lang w:val="en-US" w:eastAsia="zh-CN"/>
        </w:rPr>
        <w:t>2</w:t>
      </w:r>
      <w:r>
        <w:rPr>
          <w:rFonts w:hint="eastAsia" w:ascii="宋体" w:hAnsi="宋体" w:cs="宋体"/>
          <w:b w:val="0"/>
          <w:bCs/>
          <w:color w:val="000000"/>
          <w:sz w:val="24"/>
          <w:lang w:val="zh-CN"/>
        </w:rPr>
        <w:t>）沈阳站/SK汽车客运站至辽宁大厦：</w:t>
      </w:r>
    </w:p>
    <w:p>
      <w:pPr>
        <w:adjustRightInd w:val="0"/>
        <w:snapToGrid w:val="0"/>
        <w:spacing w:line="360" w:lineRule="auto"/>
        <w:ind w:firstLine="1072" w:firstLineChars="4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①从沈阳站地铁站上车，乘地铁一号线（开往黎明广场）在青年大街站换乘地铁二号线（开往航空航天大学）在北陵公园站下车，步行约五百米到辽宁大厦。用时约40分钟，乘车费用3元。</w:t>
      </w:r>
    </w:p>
    <w:p>
      <w:pPr>
        <w:adjustRightInd w:val="0"/>
        <w:snapToGrid w:val="0"/>
        <w:spacing w:line="360" w:lineRule="auto"/>
        <w:ind w:firstLine="1072" w:firstLineChars="4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②打车约22分钟，乘车费用16元。</w:t>
      </w:r>
    </w:p>
    <w:p>
      <w:pPr>
        <w:adjustRightInd w:val="0"/>
        <w:snapToGrid w:val="0"/>
        <w:spacing w:line="360" w:lineRule="auto"/>
        <w:ind w:firstLine="592" w:firstLineChars="2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w:t>
      </w:r>
      <w:r>
        <w:rPr>
          <w:rFonts w:hint="eastAsia" w:ascii="宋体" w:hAnsi="宋体" w:cs="宋体"/>
          <w:b w:val="0"/>
          <w:bCs/>
          <w:color w:val="000000"/>
          <w:sz w:val="24"/>
          <w:lang w:val="en-US" w:eastAsia="zh-CN"/>
        </w:rPr>
        <w:t>3</w:t>
      </w:r>
      <w:r>
        <w:rPr>
          <w:rFonts w:hint="eastAsia" w:ascii="宋体" w:hAnsi="宋体" w:cs="宋体"/>
          <w:b w:val="0"/>
          <w:bCs/>
          <w:color w:val="000000"/>
          <w:sz w:val="24"/>
          <w:lang w:val="zh-CN"/>
        </w:rPr>
        <w:t>）沈阳桃仙机场至辽宁大厦</w:t>
      </w:r>
    </w:p>
    <w:p>
      <w:pPr>
        <w:adjustRightInd w:val="0"/>
        <w:snapToGrid w:val="0"/>
        <w:spacing w:line="360" w:lineRule="auto"/>
        <w:ind w:firstLine="1072" w:firstLineChars="4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①乘机场大巴（开往辽宁省快速汽车客运站）在辽宁电视台下车，步行约八分钟，在工业展览馆乘地铁二号线（开往航空航天大学）在北陵公园站下车，步行约五百米到辽宁大厦。用时一小时36分钟，乘车费用17.5元。</w:t>
      </w:r>
    </w:p>
    <w:p>
      <w:pPr>
        <w:adjustRightInd w:val="0"/>
        <w:snapToGrid w:val="0"/>
        <w:spacing w:line="360" w:lineRule="auto"/>
        <w:ind w:firstLine="1072" w:firstLineChars="4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②打车约50分钟，乘车费用71元。</w:t>
      </w:r>
    </w:p>
    <w:p>
      <w:pPr>
        <w:adjustRightInd w:val="0"/>
        <w:snapToGrid w:val="0"/>
        <w:spacing w:line="360" w:lineRule="auto"/>
        <w:ind w:firstLine="1072" w:firstLineChars="4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③</w:t>
      </w:r>
      <w:bookmarkStart w:id="0" w:name="_GoBack"/>
      <w:bookmarkEnd w:id="0"/>
      <w:r>
        <w:rPr>
          <w:rFonts w:hint="eastAsia" w:ascii="宋体" w:hAnsi="宋体" w:cs="宋体"/>
          <w:b w:val="0"/>
          <w:bCs/>
          <w:color w:val="000000"/>
          <w:sz w:val="24"/>
          <w:lang w:val="zh-CN"/>
        </w:rPr>
        <w:t>步行约990米,到达有轨电车2号线桃仙机场站，乘坐有轨电车2号线,经过12站, 到达白塔河路站，乘坐地铁2号线（开往航空航天大学）到达北陵公园站，步行约500米到辽宁大厦。</w:t>
      </w:r>
    </w:p>
    <w:p>
      <w:pPr>
        <w:adjustRightInd w:val="0"/>
        <w:snapToGrid w:val="0"/>
        <w:spacing w:line="360" w:lineRule="auto"/>
        <w:ind w:firstLine="592" w:firstLineChars="2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w:t>
      </w:r>
      <w:r>
        <w:rPr>
          <w:rFonts w:hint="eastAsia" w:ascii="宋体" w:hAnsi="宋体" w:cs="宋体"/>
          <w:b w:val="0"/>
          <w:bCs/>
          <w:color w:val="000000"/>
          <w:sz w:val="24"/>
          <w:lang w:val="en-US" w:eastAsia="zh-CN"/>
        </w:rPr>
        <w:t>4</w:t>
      </w:r>
      <w:r>
        <w:rPr>
          <w:rFonts w:hint="eastAsia" w:ascii="宋体" w:hAnsi="宋体" w:cs="宋体"/>
          <w:b w:val="0"/>
          <w:bCs/>
          <w:color w:val="000000"/>
          <w:sz w:val="24"/>
          <w:lang w:val="zh-CN"/>
        </w:rPr>
        <w:t>）龙之梦客运站至辽宁大厦</w:t>
      </w:r>
    </w:p>
    <w:p>
      <w:pPr>
        <w:adjustRightInd w:val="0"/>
        <w:snapToGrid w:val="0"/>
        <w:spacing w:line="360" w:lineRule="auto"/>
        <w:ind w:firstLine="1072" w:firstLineChars="4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①从滂江街地铁站上车乘地铁一号线（开往十三号街）在青年大街站换乘地铁二号线（开往航空航天大学）在北陵公园站下车，步行约500米到辽宁大厦。用时43分钟，乘车费用3元。</w:t>
      </w:r>
    </w:p>
    <w:p>
      <w:pPr>
        <w:adjustRightInd w:val="0"/>
        <w:snapToGrid w:val="0"/>
        <w:spacing w:line="360" w:lineRule="auto"/>
        <w:ind w:firstLine="1072" w:firstLineChars="447"/>
        <w:outlineLvl w:val="0"/>
        <w:rPr>
          <w:rFonts w:hint="eastAsia" w:ascii="宋体" w:hAnsi="宋体" w:cs="宋体"/>
          <w:b w:val="0"/>
          <w:bCs/>
          <w:color w:val="000000"/>
          <w:sz w:val="24"/>
          <w:lang w:val="zh-CN"/>
        </w:rPr>
      </w:pPr>
      <w:r>
        <w:rPr>
          <w:rFonts w:hint="eastAsia" w:ascii="宋体" w:hAnsi="宋体" w:cs="宋体"/>
          <w:b w:val="0"/>
          <w:bCs/>
          <w:color w:val="000000"/>
          <w:sz w:val="24"/>
          <w:lang w:val="zh-CN"/>
        </w:rPr>
        <w:t>②打车约20分钟，乘车费用19元。</w:t>
      </w:r>
    </w:p>
    <w:p>
      <w:pPr>
        <w:adjustRightInd w:val="0"/>
        <w:snapToGrid w:val="0"/>
        <w:spacing w:line="360" w:lineRule="auto"/>
        <w:ind w:firstLine="595" w:firstLineChars="247"/>
        <w:outlineLvl w:val="0"/>
        <w:rPr>
          <w:rFonts w:ascii="宋体" w:hAnsi="宋体" w:cs="宋体"/>
          <w:b/>
          <w:sz w:val="24"/>
        </w:rPr>
      </w:pPr>
      <w:r>
        <w:rPr>
          <w:rFonts w:ascii="宋体" w:hAnsi="宋体" w:cs="宋体"/>
          <w:b/>
          <w:sz w:val="24"/>
        </w:rPr>
        <w:t>(</w:t>
      </w:r>
      <w:r>
        <w:rPr>
          <w:rFonts w:hint="eastAsia" w:ascii="宋体" w:hAnsi="宋体" w:cs="宋体"/>
          <w:b/>
          <w:sz w:val="24"/>
        </w:rPr>
        <w:t>四</w:t>
      </w:r>
      <w:r>
        <w:rPr>
          <w:rFonts w:ascii="宋体" w:hAnsi="宋体" w:cs="宋体"/>
          <w:b/>
          <w:sz w:val="24"/>
        </w:rPr>
        <w:t xml:space="preserve">) </w:t>
      </w:r>
      <w:r>
        <w:rPr>
          <w:rFonts w:hint="eastAsia" w:ascii="宋体" w:hAnsi="宋体" w:cs="宋体"/>
          <w:b/>
          <w:sz w:val="24"/>
        </w:rPr>
        <w:t>联系方式</w:t>
      </w:r>
    </w:p>
    <w:p>
      <w:pPr>
        <w:spacing w:line="300" w:lineRule="auto"/>
        <w:ind w:firstLine="480" w:firstLineChars="200"/>
        <w:rPr>
          <w:rFonts w:hint="eastAsia" w:ascii="宋体" w:hAnsi="宋体" w:cs="宋体"/>
          <w:sz w:val="24"/>
        </w:rPr>
      </w:pPr>
      <w:r>
        <w:rPr>
          <w:rFonts w:hint="eastAsia" w:ascii="宋体" w:hAnsi="宋体" w:cs="宋体"/>
          <w:sz w:val="24"/>
        </w:rPr>
        <w:t>承办单位：</w:t>
      </w:r>
      <w:r>
        <w:rPr>
          <w:rFonts w:hint="eastAsia" w:ascii="宋体" w:hAnsi="宋体" w:cs="宋体"/>
          <w:sz w:val="24"/>
          <w:lang w:eastAsia="zh-CN"/>
        </w:rPr>
        <w:t>沈阳工程学院</w:t>
      </w:r>
    </w:p>
    <w:p>
      <w:pPr>
        <w:spacing w:line="300" w:lineRule="auto"/>
        <w:ind w:firstLine="1080"/>
        <w:rPr>
          <w:rFonts w:hint="eastAsia" w:ascii="宋体" w:hAnsi="宋体" w:cs="宋体"/>
          <w:color w:val="0000FF"/>
          <w:sz w:val="24"/>
        </w:rPr>
      </w:pPr>
      <w:r>
        <w:rPr>
          <w:rFonts w:hint="eastAsia" w:ascii="宋体" w:hAnsi="宋体" w:cs="宋体"/>
          <w:color w:val="auto"/>
          <w:sz w:val="24"/>
          <w:lang w:eastAsia="zh-CN"/>
        </w:rPr>
        <w:t>白</w:t>
      </w:r>
      <w:r>
        <w:rPr>
          <w:rFonts w:hint="eastAsia" w:ascii="宋体" w:hAnsi="宋体" w:cs="宋体"/>
          <w:color w:val="auto"/>
          <w:sz w:val="24"/>
          <w:lang w:val="en-US" w:eastAsia="zh-CN"/>
        </w:rPr>
        <w:t xml:space="preserve">  </w:t>
      </w:r>
      <w:r>
        <w:rPr>
          <w:rFonts w:hint="eastAsia" w:ascii="宋体" w:hAnsi="宋体" w:cs="宋体"/>
          <w:color w:val="auto"/>
          <w:sz w:val="24"/>
          <w:lang w:eastAsia="zh-CN"/>
        </w:rPr>
        <w:t>迪</w:t>
      </w:r>
      <w:r>
        <w:rPr>
          <w:rFonts w:hint="eastAsia" w:ascii="宋体" w:hAnsi="宋体" w:cs="宋体"/>
          <w:color w:val="auto"/>
          <w:sz w:val="24"/>
        </w:rPr>
        <w:t xml:space="preserve">    电话：（O）</w:t>
      </w:r>
      <w:r>
        <w:rPr>
          <w:rFonts w:hint="eastAsia" w:ascii="宋体" w:hAnsi="宋体" w:cs="宋体"/>
          <w:color w:val="auto"/>
          <w:sz w:val="24"/>
          <w:lang w:val="en-US" w:eastAsia="zh-CN"/>
        </w:rPr>
        <w:t>13898857663</w:t>
      </w:r>
    </w:p>
    <w:p>
      <w:pPr>
        <w:spacing w:line="300" w:lineRule="auto"/>
        <w:ind w:firstLine="1080"/>
        <w:rPr>
          <w:rFonts w:hint="eastAsia" w:ascii="宋体" w:hAnsi="宋体" w:cs="宋体"/>
          <w:color w:val="auto"/>
          <w:sz w:val="24"/>
        </w:rPr>
      </w:pPr>
      <w:r>
        <w:rPr>
          <w:rFonts w:hint="eastAsia" w:ascii="宋体" w:hAnsi="宋体" w:cs="宋体"/>
          <w:color w:val="auto"/>
          <w:sz w:val="24"/>
          <w:lang w:eastAsia="zh-CN"/>
        </w:rPr>
        <w:t>高</w:t>
      </w:r>
      <w:r>
        <w:rPr>
          <w:rFonts w:hint="eastAsia" w:ascii="宋体" w:hAnsi="宋体" w:cs="宋体"/>
          <w:color w:val="auto"/>
          <w:sz w:val="24"/>
          <w:lang w:val="en-US" w:eastAsia="zh-CN"/>
        </w:rPr>
        <w:t xml:space="preserve">  </w:t>
      </w:r>
      <w:r>
        <w:rPr>
          <w:rFonts w:hint="eastAsia" w:ascii="宋体" w:hAnsi="宋体" w:cs="宋体"/>
          <w:color w:val="auto"/>
          <w:sz w:val="24"/>
          <w:lang w:eastAsia="zh-CN"/>
        </w:rPr>
        <w:t>兢</w:t>
      </w:r>
      <w:r>
        <w:rPr>
          <w:rFonts w:hint="eastAsia" w:ascii="宋体" w:hAnsi="宋体" w:cs="宋体"/>
          <w:color w:val="auto"/>
          <w:sz w:val="24"/>
        </w:rPr>
        <w:t xml:space="preserve">    电话：（O）</w:t>
      </w:r>
      <w:r>
        <w:rPr>
          <w:rFonts w:hint="eastAsia" w:ascii="宋体" w:hAnsi="宋体" w:cs="宋体"/>
          <w:color w:val="auto"/>
          <w:sz w:val="24"/>
          <w:lang w:val="en-US" w:eastAsia="zh-CN"/>
        </w:rPr>
        <w:t>17702473651</w:t>
      </w:r>
    </w:p>
    <w:p>
      <w:pPr>
        <w:tabs>
          <w:tab w:val="left" w:pos="5318"/>
        </w:tabs>
        <w:spacing w:line="300" w:lineRule="auto"/>
        <w:ind w:firstLine="1080"/>
        <w:rPr>
          <w:rFonts w:hint="eastAsia" w:ascii="宋体" w:hAnsi="宋体" w:cs="宋体"/>
          <w:color w:val="auto"/>
          <w:sz w:val="24"/>
        </w:rPr>
      </w:pPr>
      <w:r>
        <w:rPr>
          <w:rFonts w:hint="eastAsia" w:ascii="宋体" w:hAnsi="宋体" w:cs="宋体"/>
          <w:color w:val="auto"/>
          <w:sz w:val="24"/>
          <w:lang w:eastAsia="zh-CN"/>
        </w:rPr>
        <w:t>许傲然</w:t>
      </w:r>
      <w:r>
        <w:rPr>
          <w:rFonts w:hint="eastAsia" w:ascii="宋体" w:hAnsi="宋体" w:cs="宋体"/>
          <w:color w:val="auto"/>
          <w:sz w:val="24"/>
        </w:rPr>
        <w:t xml:space="preserve">    电话：（O）</w:t>
      </w:r>
      <w:r>
        <w:rPr>
          <w:rFonts w:hint="eastAsia" w:ascii="宋体" w:hAnsi="宋体" w:cs="宋体"/>
          <w:color w:val="auto"/>
          <w:sz w:val="24"/>
          <w:lang w:val="en-US" w:eastAsia="zh-CN"/>
        </w:rPr>
        <w:t>15998101696</w:t>
      </w:r>
    </w:p>
    <w:p>
      <w:pPr>
        <w:spacing w:line="300" w:lineRule="auto"/>
        <w:ind w:firstLine="1080"/>
        <w:rPr>
          <w:rFonts w:ascii="宋体" w:hAnsi="宋体" w:cs="宋体"/>
          <w:color w:val="auto"/>
          <w:sz w:val="24"/>
        </w:rPr>
      </w:pPr>
      <w:r>
        <w:rPr>
          <w:rFonts w:hint="eastAsia" w:ascii="宋体" w:hAnsi="宋体" w:cs="宋体"/>
          <w:color w:val="auto"/>
          <w:sz w:val="24"/>
          <w:lang w:eastAsia="zh-CN"/>
        </w:rPr>
        <w:t>王</w:t>
      </w:r>
      <w:r>
        <w:rPr>
          <w:rFonts w:hint="eastAsia" w:ascii="宋体" w:hAnsi="宋体" w:cs="宋体"/>
          <w:color w:val="auto"/>
          <w:sz w:val="24"/>
          <w:lang w:val="en-US" w:eastAsia="zh-CN"/>
        </w:rPr>
        <w:t xml:space="preserve">  </w:t>
      </w:r>
      <w:r>
        <w:rPr>
          <w:rFonts w:hint="eastAsia" w:ascii="宋体" w:hAnsi="宋体" w:cs="宋体"/>
          <w:color w:val="auto"/>
          <w:sz w:val="24"/>
          <w:lang w:eastAsia="zh-CN"/>
        </w:rPr>
        <w:t>刚</w:t>
      </w:r>
      <w:r>
        <w:rPr>
          <w:rFonts w:hint="eastAsia" w:ascii="宋体" w:hAnsi="宋体" w:cs="宋体"/>
          <w:color w:val="auto"/>
          <w:sz w:val="24"/>
        </w:rPr>
        <w:t xml:space="preserve">    电话：（O）</w:t>
      </w:r>
      <w:r>
        <w:rPr>
          <w:rFonts w:hint="eastAsia" w:ascii="宋体" w:hAnsi="宋体" w:cs="宋体"/>
          <w:color w:val="auto"/>
          <w:sz w:val="24"/>
          <w:lang w:val="en-US" w:eastAsia="zh-CN"/>
        </w:rPr>
        <w:t>13889131662</w:t>
      </w:r>
    </w:p>
    <w:p>
      <w:pPr>
        <w:spacing w:line="300" w:lineRule="auto"/>
        <w:ind w:firstLine="1080"/>
        <w:rPr>
          <w:rFonts w:hint="eastAsia" w:ascii="宋体" w:hAnsi="宋体" w:cs="宋体"/>
          <w:color w:val="auto"/>
          <w:sz w:val="24"/>
        </w:rPr>
      </w:pPr>
      <w:r>
        <w:rPr>
          <w:rFonts w:hint="eastAsia" w:ascii="宋体" w:hAnsi="宋体" w:cs="宋体"/>
          <w:color w:val="auto"/>
          <w:sz w:val="24"/>
          <w:lang w:eastAsia="zh-CN"/>
        </w:rPr>
        <w:t>赵</w:t>
      </w:r>
      <w:r>
        <w:rPr>
          <w:rFonts w:hint="eastAsia" w:ascii="宋体" w:hAnsi="宋体" w:cs="宋体"/>
          <w:color w:val="auto"/>
          <w:sz w:val="24"/>
          <w:lang w:val="en-US" w:eastAsia="zh-CN"/>
        </w:rPr>
        <w:t xml:space="preserve">  </w:t>
      </w:r>
      <w:r>
        <w:rPr>
          <w:rFonts w:hint="eastAsia" w:ascii="宋体" w:hAnsi="宋体" w:cs="宋体"/>
          <w:color w:val="auto"/>
          <w:sz w:val="24"/>
          <w:lang w:eastAsia="zh-CN"/>
        </w:rPr>
        <w:t>毅</w:t>
      </w:r>
      <w:r>
        <w:rPr>
          <w:rFonts w:hint="eastAsia" w:ascii="宋体" w:hAnsi="宋体" w:cs="宋体"/>
          <w:color w:val="auto"/>
          <w:sz w:val="24"/>
        </w:rPr>
        <w:t xml:space="preserve">    电话：（O）</w:t>
      </w:r>
      <w:r>
        <w:rPr>
          <w:rFonts w:ascii="宋体" w:hAnsi="宋体" w:cs="宋体"/>
          <w:color w:val="auto"/>
          <w:sz w:val="24"/>
        </w:rPr>
        <w:t>13</w:t>
      </w:r>
      <w:r>
        <w:rPr>
          <w:rFonts w:hint="eastAsia" w:ascii="宋体" w:hAnsi="宋体" w:cs="宋体"/>
          <w:color w:val="auto"/>
          <w:sz w:val="24"/>
          <w:lang w:val="en-US" w:eastAsia="zh-CN"/>
        </w:rPr>
        <w:t>644023600</w:t>
      </w:r>
    </w:p>
    <w:p>
      <w:pPr>
        <w:spacing w:line="300" w:lineRule="auto"/>
        <w:ind w:firstLine="1080"/>
        <w:rPr>
          <w:rFonts w:hint="eastAsia" w:ascii="宋体" w:hAnsi="宋体" w:cs="宋体"/>
          <w:color w:val="0000FF"/>
          <w:sz w:val="24"/>
        </w:rPr>
      </w:pPr>
    </w:p>
    <w:p>
      <w:pPr>
        <w:spacing w:line="300" w:lineRule="auto"/>
        <w:ind w:firstLine="1080"/>
        <w:rPr>
          <w:rFonts w:hint="eastAsia" w:ascii="宋体" w:hAnsi="宋体" w:cs="宋体"/>
          <w:sz w:val="24"/>
        </w:rPr>
      </w:pPr>
      <w:r>
        <w:rPr>
          <w:rFonts w:hint="eastAsia" w:ascii="宋体" w:hAnsi="宋体" w:cs="宋体"/>
          <w:sz w:val="24"/>
        </w:rPr>
        <w:t>传真：</w:t>
      </w:r>
      <w:r>
        <w:rPr>
          <w:rFonts w:hint="eastAsia" w:ascii="宋体" w:hAnsi="宋体" w:cs="宋体"/>
          <w:sz w:val="24"/>
          <w:lang w:val="en-US" w:eastAsia="zh-CN"/>
        </w:rPr>
        <w:t>024-31975719</w:t>
      </w:r>
    </w:p>
    <w:p>
      <w:pPr>
        <w:spacing w:line="300" w:lineRule="auto"/>
        <w:ind w:left="2159" w:leftChars="514" w:hanging="1080"/>
        <w:rPr>
          <w:rFonts w:hint="eastAsia" w:ascii="宋体" w:hAnsi="宋体" w:cs="宋体"/>
          <w:sz w:val="24"/>
        </w:rPr>
      </w:pPr>
      <w:r>
        <w:rPr>
          <w:rFonts w:hint="eastAsia" w:ascii="宋体" w:hAnsi="宋体" w:cs="宋体"/>
          <w:sz w:val="24"/>
        </w:rPr>
        <w:t>通信地址：</w:t>
      </w:r>
      <w:r>
        <w:rPr>
          <w:rFonts w:hint="eastAsia" w:ascii="宋体" w:hAnsi="宋体" w:cs="宋体"/>
          <w:sz w:val="24"/>
          <w:lang w:eastAsia="zh-CN"/>
        </w:rPr>
        <w:t>辽宁</w:t>
      </w:r>
      <w:r>
        <w:rPr>
          <w:rFonts w:hint="eastAsia" w:ascii="宋体" w:hAnsi="宋体" w:cs="宋体"/>
          <w:sz w:val="24"/>
        </w:rPr>
        <w:t>省</w:t>
      </w:r>
      <w:r>
        <w:rPr>
          <w:rFonts w:hint="eastAsia" w:ascii="宋体" w:hAnsi="宋体" w:cs="宋体"/>
          <w:sz w:val="24"/>
          <w:lang w:eastAsia="zh-CN"/>
        </w:rPr>
        <w:t>沈阳</w:t>
      </w:r>
      <w:r>
        <w:rPr>
          <w:rFonts w:hint="eastAsia" w:ascii="宋体" w:hAnsi="宋体" w:cs="宋体"/>
          <w:sz w:val="24"/>
        </w:rPr>
        <w:t>市</w:t>
      </w:r>
      <w:r>
        <w:rPr>
          <w:rFonts w:hint="eastAsia" w:ascii="宋体" w:hAnsi="宋体" w:cs="宋体"/>
          <w:sz w:val="24"/>
          <w:lang w:eastAsia="zh-CN"/>
        </w:rPr>
        <w:t>蒲昌路</w:t>
      </w:r>
      <w:r>
        <w:rPr>
          <w:rFonts w:hint="eastAsia" w:ascii="宋体" w:hAnsi="宋体" w:cs="宋体"/>
          <w:sz w:val="24"/>
          <w:lang w:val="en-US" w:eastAsia="zh-CN"/>
        </w:rPr>
        <w:t>18</w:t>
      </w:r>
      <w:r>
        <w:rPr>
          <w:rFonts w:hint="eastAsia" w:ascii="宋体" w:hAnsi="宋体" w:cs="宋体"/>
          <w:sz w:val="24"/>
        </w:rPr>
        <w:t>号</w:t>
      </w:r>
      <w:r>
        <w:rPr>
          <w:rFonts w:hint="eastAsia" w:ascii="宋体" w:hAnsi="宋体" w:cs="宋体"/>
          <w:sz w:val="24"/>
          <w:lang w:eastAsia="zh-CN"/>
        </w:rPr>
        <w:t>沈阳工程学院</w:t>
      </w:r>
      <w:r>
        <w:rPr>
          <w:rFonts w:hint="eastAsia" w:ascii="宋体" w:hAnsi="宋体" w:cs="宋体"/>
          <w:sz w:val="24"/>
          <w:lang w:val="en-US" w:eastAsia="zh-CN"/>
        </w:rPr>
        <w:t>电力学院</w:t>
      </w:r>
    </w:p>
    <w:p>
      <w:pPr>
        <w:spacing w:line="300" w:lineRule="auto"/>
        <w:ind w:firstLine="1080"/>
        <w:rPr>
          <w:rFonts w:hint="eastAsia" w:ascii="宋体" w:hAnsi="宋体" w:cs="宋体"/>
          <w:color w:val="000000"/>
          <w:sz w:val="24"/>
        </w:rPr>
      </w:pPr>
      <w:r>
        <w:rPr>
          <w:rFonts w:hint="eastAsia" w:ascii="宋体" w:hAnsi="宋体" w:cs="宋体"/>
          <w:color w:val="000000"/>
          <w:sz w:val="24"/>
        </w:rPr>
        <w:t xml:space="preserve">收 件 </w:t>
      </w:r>
      <w:r>
        <w:rPr>
          <w:rFonts w:ascii="宋体" w:hAnsi="宋体" w:cs="宋体"/>
          <w:color w:val="000000"/>
          <w:sz w:val="24"/>
        </w:rPr>
        <w:t>人：</w:t>
      </w:r>
      <w:r>
        <w:rPr>
          <w:rFonts w:hint="eastAsia" w:ascii="宋体" w:hAnsi="宋体" w:cs="宋体"/>
          <w:color w:val="000000"/>
          <w:sz w:val="24"/>
          <w:lang w:eastAsia="zh-CN"/>
        </w:rPr>
        <w:t>白</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迪</w:t>
      </w:r>
      <w:r>
        <w:rPr>
          <w:rFonts w:hint="eastAsia" w:ascii="宋体" w:hAnsi="宋体" w:cs="宋体"/>
          <w:color w:val="000000"/>
          <w:sz w:val="24"/>
        </w:rPr>
        <w:t xml:space="preserve"> </w:t>
      </w:r>
    </w:p>
    <w:p>
      <w:pPr>
        <w:spacing w:line="300" w:lineRule="auto"/>
        <w:ind w:firstLine="1080"/>
        <w:rPr>
          <w:rFonts w:hint="eastAsia" w:ascii="宋体" w:hAnsi="宋体" w:cs="宋体"/>
          <w:color w:val="000000"/>
          <w:sz w:val="24"/>
        </w:rPr>
      </w:pPr>
      <w:r>
        <w:rPr>
          <w:rFonts w:hint="eastAsia" w:ascii="宋体" w:hAnsi="宋体" w:cs="宋体"/>
          <w:color w:val="000000"/>
          <w:sz w:val="24"/>
        </w:rPr>
        <w:t xml:space="preserve">邮 </w:t>
      </w:r>
      <w:r>
        <w:rPr>
          <w:rFonts w:ascii="宋体" w:hAnsi="宋体" w:cs="宋体"/>
          <w:color w:val="000000"/>
          <w:sz w:val="24"/>
        </w:rPr>
        <w:t xml:space="preserve">  </w:t>
      </w:r>
      <w:r>
        <w:rPr>
          <w:rFonts w:hint="eastAsia" w:ascii="宋体" w:hAnsi="宋体" w:cs="宋体"/>
          <w:color w:val="000000"/>
          <w:sz w:val="24"/>
        </w:rPr>
        <w:t xml:space="preserve"> 编：</w:t>
      </w:r>
      <w:r>
        <w:rPr>
          <w:rFonts w:hint="eastAsia" w:ascii="宋体" w:hAnsi="宋体" w:cs="宋体"/>
          <w:color w:val="000000"/>
          <w:sz w:val="24"/>
          <w:lang w:val="en-US" w:eastAsia="zh-CN"/>
        </w:rPr>
        <w:t>110136</w:t>
      </w:r>
    </w:p>
    <w:p>
      <w:pPr>
        <w:spacing w:line="300" w:lineRule="auto"/>
        <w:ind w:firstLine="1080"/>
        <w:rPr>
          <w:rFonts w:hint="eastAsia" w:ascii="宋体" w:hAnsi="宋体" w:cs="宋体"/>
          <w:color w:val="000000"/>
          <w:sz w:val="24"/>
        </w:rPr>
      </w:pPr>
      <w:r>
        <w:rPr>
          <w:rFonts w:hint="eastAsia" w:ascii="宋体" w:hAnsi="宋体" w:cs="宋体"/>
          <w:color w:val="000000"/>
          <w:sz w:val="24"/>
        </w:rPr>
        <w:t>电子邮箱：</w:t>
      </w:r>
      <w:r>
        <w:rPr>
          <w:rFonts w:hint="eastAsia" w:ascii="宋体" w:hAnsi="宋体" w:cs="宋体"/>
          <w:color w:val="000000"/>
          <w:sz w:val="24"/>
          <w:lang w:val="en-US" w:eastAsia="zh-CN"/>
        </w:rPr>
        <w:t>hopebaidi</w:t>
      </w:r>
      <w:r>
        <w:rPr>
          <w:rFonts w:ascii="宋体" w:hAnsi="宋体" w:cs="宋体"/>
          <w:color w:val="000000"/>
          <w:sz w:val="24"/>
        </w:rPr>
        <w:t>@163.com</w:t>
      </w:r>
    </w:p>
    <w:p>
      <w:pPr>
        <w:spacing w:line="300" w:lineRule="auto"/>
        <w:ind w:firstLine="480" w:firstLineChars="200"/>
        <w:rPr>
          <w:rFonts w:hint="eastAsia" w:ascii="宋体" w:hAnsi="宋体" w:cs="宋体"/>
          <w:sz w:val="24"/>
        </w:rPr>
      </w:pPr>
      <w:r>
        <w:rPr>
          <w:rFonts w:hint="eastAsia" w:ascii="宋体" w:hAnsi="宋体" w:cs="宋体"/>
          <w:sz w:val="24"/>
        </w:rPr>
        <w:t>组长单位：西安交通大学</w:t>
      </w:r>
    </w:p>
    <w:p>
      <w:pPr>
        <w:spacing w:line="300" w:lineRule="auto"/>
        <w:ind w:firstLine="1080"/>
        <w:rPr>
          <w:rFonts w:hint="eastAsia" w:ascii="宋体" w:hAnsi="宋体" w:cs="宋体"/>
          <w:sz w:val="24"/>
        </w:rPr>
      </w:pPr>
      <w:r>
        <w:rPr>
          <w:rFonts w:hint="eastAsia" w:ascii="宋体" w:hAnsi="宋体" w:cs="宋体"/>
          <w:sz w:val="24"/>
        </w:rPr>
        <w:t>郝平乐  电话：029－82664000   传真：029－82668021</w:t>
      </w:r>
    </w:p>
    <w:p>
      <w:pPr>
        <w:spacing w:line="300" w:lineRule="auto"/>
        <w:ind w:firstLine="1080"/>
        <w:rPr>
          <w:rFonts w:hint="eastAsia" w:ascii="宋体" w:hAnsi="宋体" w:cs="宋体"/>
          <w:sz w:val="24"/>
        </w:rPr>
      </w:pPr>
      <w:r>
        <w:rPr>
          <w:rFonts w:hint="eastAsia" w:ascii="宋体" w:hAnsi="宋体" w:cs="宋体"/>
          <w:sz w:val="24"/>
        </w:rPr>
        <w:t>电子邮箱：</w:t>
      </w:r>
      <w:r>
        <w:rPr>
          <w:rFonts w:ascii="宋体" w:hAnsi="宋体" w:cs="宋体"/>
          <w:sz w:val="24"/>
        </w:rPr>
        <w:fldChar w:fldCharType="begin"/>
      </w:r>
      <w:r>
        <w:rPr>
          <w:rFonts w:ascii="宋体" w:hAnsi="宋体" w:cs="宋体"/>
          <w:sz w:val="24"/>
        </w:rPr>
        <w:instrText xml:space="preserve"> HYPERLINK "mailto:</w:instrText>
      </w:r>
      <w:r>
        <w:rPr>
          <w:rFonts w:hint="eastAsia" w:ascii="宋体" w:hAnsi="宋体" w:cs="宋体"/>
          <w:sz w:val="24"/>
        </w:rPr>
        <w:instrText xml:space="preserve">plhao@mail.xjtu.edu.cn</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plhao@mail.xjtu.edu.cn</w:t>
      </w:r>
      <w:r>
        <w:rPr>
          <w:rFonts w:ascii="宋体" w:hAnsi="宋体" w:cs="宋体"/>
          <w:sz w:val="24"/>
        </w:rPr>
        <w:fldChar w:fldCharType="end"/>
      </w:r>
    </w:p>
    <w:p>
      <w:pPr>
        <w:rPr>
          <w:rFonts w:hint="eastAsia"/>
        </w:rPr>
      </w:pPr>
    </w:p>
    <w:p>
      <w:pPr>
        <w:adjustRightInd w:val="0"/>
        <w:snapToGrid w:val="0"/>
        <w:spacing w:line="300" w:lineRule="auto"/>
        <w:ind w:right="105"/>
        <w:jc w:val="center"/>
        <w:rPr>
          <w:rFonts w:hint="eastAsia"/>
        </w:rPr>
      </w:pPr>
      <w:r>
        <w:rPr>
          <w:rFonts w:hint="eastAsia"/>
        </w:rPr>
        <w:t xml:space="preserve">             </w:t>
      </w:r>
    </w:p>
    <w:p>
      <w:pPr>
        <w:adjustRightInd w:val="0"/>
        <w:snapToGrid w:val="0"/>
        <w:spacing w:line="300" w:lineRule="auto"/>
        <w:ind w:right="105"/>
        <w:jc w:val="center"/>
        <w:rPr>
          <w:rFonts w:hint="eastAsia"/>
        </w:rPr>
      </w:pPr>
    </w:p>
    <w:p>
      <w:pPr>
        <w:adjustRightInd w:val="0"/>
        <w:snapToGrid w:val="0"/>
        <w:spacing w:line="300" w:lineRule="auto"/>
        <w:ind w:right="105"/>
        <w:jc w:val="center"/>
        <w:rPr>
          <w:rFonts w:hint="eastAsia"/>
        </w:rPr>
      </w:pPr>
    </w:p>
    <w:p>
      <w:pPr>
        <w:adjustRightInd w:val="0"/>
        <w:snapToGrid w:val="0"/>
        <w:spacing w:line="300" w:lineRule="auto"/>
        <w:ind w:right="105"/>
        <w:jc w:val="center"/>
        <w:rPr>
          <w:rFonts w:hint="eastAsia"/>
        </w:rPr>
      </w:pPr>
    </w:p>
    <w:p>
      <w:pPr>
        <w:adjustRightInd w:val="0"/>
        <w:snapToGrid w:val="0"/>
        <w:spacing w:line="300" w:lineRule="auto"/>
        <w:ind w:right="105"/>
        <w:jc w:val="center"/>
        <w:rPr>
          <w:rFonts w:hint="eastAsia"/>
        </w:rPr>
      </w:pPr>
      <w:r>
        <w:rPr>
          <w:rFonts w:hint="eastAsia"/>
        </w:rPr>
        <w:t xml:space="preserve">               </w:t>
      </w:r>
    </w:p>
    <w:p>
      <w:pPr>
        <w:adjustRightInd w:val="0"/>
        <w:snapToGrid w:val="0"/>
        <w:spacing w:line="300" w:lineRule="auto"/>
        <w:ind w:right="105"/>
        <w:jc w:val="center"/>
        <w:rPr>
          <w:rFonts w:hint="eastAsia"/>
        </w:rPr>
      </w:pPr>
    </w:p>
    <w:p>
      <w:pPr>
        <w:adjustRightInd w:val="0"/>
        <w:snapToGrid w:val="0"/>
        <w:spacing w:line="300" w:lineRule="auto"/>
        <w:ind w:right="105"/>
        <w:jc w:val="center"/>
        <w:rPr>
          <w:rFonts w:hint="eastAsia"/>
        </w:rPr>
      </w:pPr>
    </w:p>
    <w:p>
      <w:pPr>
        <w:adjustRightInd w:val="0"/>
        <w:snapToGrid w:val="0"/>
        <w:spacing w:line="300" w:lineRule="auto"/>
        <w:ind w:right="105"/>
        <w:jc w:val="center"/>
        <w:rPr>
          <w:rFonts w:hint="eastAsia" w:ascii="宋体" w:hAnsi="宋体" w:cs="宋体"/>
          <w:sz w:val="24"/>
        </w:rPr>
      </w:pPr>
      <w:r>
        <w:rPr>
          <w:rFonts w:hint="eastAsia"/>
          <w:lang w:val="en-US" w:eastAsia="zh-CN"/>
        </w:rPr>
        <w:t xml:space="preserve">                            </w:t>
      </w:r>
      <w:r>
        <w:rPr>
          <w:rFonts w:hint="eastAsia" w:ascii="宋体" w:hAnsi="宋体" w:cs="宋体"/>
          <w:sz w:val="24"/>
        </w:rPr>
        <w:t xml:space="preserve"> 全国电气工程领域工程专业学位研究生教育协作组</w:t>
      </w:r>
    </w:p>
    <w:p>
      <w:pPr>
        <w:adjustRightInd w:val="0"/>
        <w:snapToGrid w:val="0"/>
        <w:spacing w:line="300" w:lineRule="auto"/>
        <w:ind w:right="105"/>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lang w:eastAsia="zh-CN"/>
        </w:rPr>
        <w:t>沈阳工程学院</w:t>
      </w:r>
      <w:r>
        <w:rPr>
          <w:rFonts w:hint="eastAsia" w:ascii="宋体" w:hAnsi="宋体" w:cs="宋体"/>
          <w:sz w:val="24"/>
        </w:rPr>
        <w:t>电</w:t>
      </w:r>
      <w:r>
        <w:rPr>
          <w:rFonts w:hint="eastAsia" w:ascii="宋体" w:hAnsi="宋体" w:cs="宋体"/>
          <w:sz w:val="24"/>
          <w:lang w:eastAsia="zh-CN"/>
        </w:rPr>
        <w:t>力</w:t>
      </w:r>
      <w:r>
        <w:rPr>
          <w:rFonts w:hint="eastAsia" w:ascii="宋体" w:hAnsi="宋体" w:cs="宋体"/>
          <w:sz w:val="24"/>
        </w:rPr>
        <w:t>学院（代章）</w:t>
      </w:r>
    </w:p>
    <w:p>
      <w:pPr>
        <w:wordWrap w:val="0"/>
        <w:adjustRightInd w:val="0"/>
        <w:snapToGrid w:val="0"/>
        <w:spacing w:line="300" w:lineRule="auto"/>
        <w:ind w:right="120" w:firstLine="5040" w:firstLineChars="2100"/>
        <w:rPr>
          <w:rFonts w:hint="eastAsia" w:ascii="宋体" w:hAnsi="宋体" w:cs="宋体"/>
          <w:sz w:val="24"/>
        </w:rPr>
      </w:pPr>
      <w:r>
        <w:rPr>
          <w:rFonts w:ascii="宋体" w:hAnsi="宋体" w:cs="宋体"/>
          <w:sz w:val="24"/>
        </w:rPr>
        <w:t>20</w:t>
      </w: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年9月28日</w:t>
      </w:r>
    </w:p>
    <w:p>
      <w:pPr>
        <w:rPr>
          <w:rFonts w:hint="eastAsia"/>
          <w:bCs/>
          <w:sz w:val="24"/>
        </w:rPr>
      </w:pPr>
      <w:r>
        <w:rPr>
          <w:rFonts w:hint="eastAsia"/>
          <w:sz w:val="24"/>
        </w:rPr>
        <w:t>附件：</w:t>
      </w:r>
      <w:r>
        <w:rPr>
          <w:rFonts w:hint="eastAsia" w:ascii="宋体" w:hAnsi="宋体" w:cs="宋体"/>
          <w:color w:val="000000"/>
          <w:sz w:val="24"/>
        </w:rPr>
        <w:t>全国电气工程领域工程专业学位研究生教育协作组</w:t>
      </w:r>
      <w:r>
        <w:rPr>
          <w:sz w:val="24"/>
        </w:rPr>
        <w:t>第</w:t>
      </w:r>
      <w:r>
        <w:rPr>
          <w:rFonts w:hint="eastAsia"/>
          <w:sz w:val="24"/>
        </w:rPr>
        <w:t>十</w:t>
      </w:r>
      <w:r>
        <w:rPr>
          <w:rFonts w:hint="eastAsia"/>
          <w:sz w:val="24"/>
          <w:lang w:eastAsia="zh-CN"/>
        </w:rPr>
        <w:t>三</w:t>
      </w:r>
      <w:r>
        <w:rPr>
          <w:sz w:val="24"/>
        </w:rPr>
        <w:t>次工作会议</w:t>
      </w:r>
      <w:r>
        <w:rPr>
          <w:rFonts w:hint="eastAsia"/>
          <w:sz w:val="24"/>
        </w:rPr>
        <w:t>回执</w:t>
      </w:r>
    </w:p>
    <w:p>
      <w:pPr>
        <w:spacing w:line="432" w:lineRule="auto"/>
        <w:rPr>
          <w:rFonts w:hint="eastAsia"/>
          <w:sz w:val="24"/>
        </w:rPr>
        <w:sectPr>
          <w:headerReference r:id="rId3" w:type="default"/>
          <w:pgSz w:w="11906" w:h="16838"/>
          <w:pgMar w:top="1440" w:right="1646" w:bottom="1440" w:left="1800" w:header="851" w:footer="992" w:gutter="0"/>
          <w:cols w:space="425" w:num="1"/>
          <w:docGrid w:type="lines" w:linePitch="312" w:charSpace="0"/>
        </w:sectPr>
      </w:pPr>
    </w:p>
    <w:p>
      <w:pPr>
        <w:spacing w:line="360" w:lineRule="auto"/>
        <w:rPr>
          <w:rFonts w:hint="eastAsia" w:eastAsia="黑体" w:cs="宋体"/>
          <w:b/>
          <w:bCs/>
          <w:sz w:val="32"/>
        </w:rPr>
      </w:pPr>
      <w:r>
        <w:rPr>
          <w:rFonts w:hint="eastAsia"/>
          <w:sz w:val="24"/>
        </w:rPr>
        <w:t>附件</w:t>
      </w:r>
    </w:p>
    <w:p>
      <w:pPr>
        <w:spacing w:line="360" w:lineRule="auto"/>
        <w:jc w:val="center"/>
        <w:rPr>
          <w:rFonts w:hint="eastAsia"/>
          <w:b/>
          <w:sz w:val="28"/>
          <w:szCs w:val="28"/>
        </w:rPr>
      </w:pPr>
      <w:r>
        <w:rPr>
          <w:rFonts w:hint="eastAsia"/>
          <w:b/>
          <w:sz w:val="28"/>
          <w:szCs w:val="28"/>
        </w:rPr>
        <w:t>全国电气工程领域工程专业学位研究生教育协作组</w:t>
      </w:r>
      <w:r>
        <w:rPr>
          <w:b/>
          <w:sz w:val="28"/>
          <w:szCs w:val="28"/>
        </w:rPr>
        <w:t>第</w:t>
      </w:r>
      <w:r>
        <w:rPr>
          <w:rFonts w:hint="eastAsia"/>
          <w:b/>
          <w:sz w:val="28"/>
          <w:szCs w:val="28"/>
        </w:rPr>
        <w:t>十</w:t>
      </w:r>
      <w:r>
        <w:rPr>
          <w:rFonts w:hint="eastAsia"/>
          <w:b/>
          <w:sz w:val="28"/>
          <w:szCs w:val="28"/>
          <w:lang w:eastAsia="zh-CN"/>
        </w:rPr>
        <w:t>三</w:t>
      </w:r>
      <w:r>
        <w:rPr>
          <w:b/>
          <w:sz w:val="28"/>
          <w:szCs w:val="28"/>
        </w:rPr>
        <w:t>次工作会议</w:t>
      </w:r>
    </w:p>
    <w:p>
      <w:pPr>
        <w:spacing w:line="360" w:lineRule="auto"/>
        <w:jc w:val="center"/>
        <w:rPr>
          <w:rFonts w:hint="eastAsia" w:ascii="黑体" w:eastAsia="黑体"/>
          <w:color w:val="000000"/>
          <w:sz w:val="44"/>
          <w:szCs w:val="44"/>
        </w:rPr>
      </w:pPr>
      <w:r>
        <w:rPr>
          <w:rFonts w:hint="eastAsia" w:ascii="黑体" w:eastAsia="黑体"/>
          <w:color w:val="000000"/>
          <w:sz w:val="44"/>
          <w:szCs w:val="44"/>
        </w:rPr>
        <w:t>回      执</w:t>
      </w:r>
    </w:p>
    <w:tbl>
      <w:tblPr>
        <w:tblStyle w:val="5"/>
        <w:tblW w:w="14046"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1440"/>
        <w:gridCol w:w="871"/>
        <w:gridCol w:w="395"/>
        <w:gridCol w:w="2700"/>
        <w:gridCol w:w="3060"/>
        <w:gridCol w:w="720"/>
        <w:gridCol w:w="720"/>
        <w:gridCol w:w="900"/>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Merge w:val="restart"/>
            <w:vAlign w:val="center"/>
          </w:tcPr>
          <w:p>
            <w:pPr>
              <w:jc w:val="center"/>
              <w:rPr>
                <w:rFonts w:hint="eastAsia"/>
                <w:color w:val="000000"/>
              </w:rPr>
            </w:pPr>
            <w:r>
              <w:rPr>
                <w:rFonts w:hint="eastAsia"/>
                <w:color w:val="000000"/>
              </w:rPr>
              <w:t>姓名</w:t>
            </w:r>
          </w:p>
        </w:tc>
        <w:tc>
          <w:tcPr>
            <w:tcW w:w="720" w:type="dxa"/>
            <w:vMerge w:val="restart"/>
            <w:vAlign w:val="center"/>
          </w:tcPr>
          <w:p>
            <w:pPr>
              <w:jc w:val="center"/>
              <w:rPr>
                <w:rFonts w:hint="eastAsia"/>
                <w:color w:val="000000"/>
              </w:rPr>
            </w:pPr>
            <w:r>
              <w:rPr>
                <w:rFonts w:hint="eastAsia"/>
                <w:color w:val="000000"/>
              </w:rPr>
              <w:t>性别</w:t>
            </w:r>
          </w:p>
        </w:tc>
        <w:tc>
          <w:tcPr>
            <w:tcW w:w="1440" w:type="dxa"/>
            <w:vMerge w:val="restart"/>
            <w:vAlign w:val="center"/>
          </w:tcPr>
          <w:p>
            <w:pPr>
              <w:jc w:val="center"/>
              <w:rPr>
                <w:rFonts w:hint="eastAsia"/>
                <w:color w:val="000000"/>
              </w:rPr>
            </w:pPr>
            <w:r>
              <w:rPr>
                <w:rFonts w:hint="eastAsia"/>
                <w:color w:val="000000"/>
              </w:rPr>
              <w:t>单位</w:t>
            </w:r>
          </w:p>
        </w:tc>
        <w:tc>
          <w:tcPr>
            <w:tcW w:w="871" w:type="dxa"/>
            <w:vMerge w:val="restart"/>
            <w:vAlign w:val="center"/>
          </w:tcPr>
          <w:p>
            <w:pPr>
              <w:jc w:val="center"/>
              <w:rPr>
                <w:rFonts w:hint="eastAsia"/>
                <w:color w:val="000000"/>
              </w:rPr>
            </w:pPr>
            <w:r>
              <w:rPr>
                <w:rFonts w:hint="eastAsia"/>
                <w:color w:val="000000"/>
              </w:rPr>
              <w:t>职务/职称</w:t>
            </w:r>
          </w:p>
        </w:tc>
        <w:tc>
          <w:tcPr>
            <w:tcW w:w="3095" w:type="dxa"/>
            <w:gridSpan w:val="2"/>
            <w:vMerge w:val="restart"/>
            <w:vAlign w:val="center"/>
          </w:tcPr>
          <w:p>
            <w:pPr>
              <w:jc w:val="center"/>
              <w:rPr>
                <w:rFonts w:hint="eastAsia"/>
                <w:color w:val="000000"/>
              </w:rPr>
            </w:pPr>
            <w:r>
              <w:rPr>
                <w:rFonts w:hint="eastAsia"/>
                <w:color w:val="000000"/>
              </w:rPr>
              <w:t>联系方式</w:t>
            </w:r>
          </w:p>
        </w:tc>
        <w:tc>
          <w:tcPr>
            <w:tcW w:w="3060" w:type="dxa"/>
            <w:vMerge w:val="restart"/>
            <w:vAlign w:val="center"/>
          </w:tcPr>
          <w:p>
            <w:pPr>
              <w:jc w:val="center"/>
              <w:rPr>
                <w:rFonts w:hint="eastAsia"/>
                <w:color w:val="000000"/>
              </w:rPr>
            </w:pPr>
            <w:r>
              <w:rPr>
                <w:rFonts w:hint="eastAsia"/>
                <w:color w:val="000000"/>
              </w:rPr>
              <w:t>身份证号</w:t>
            </w:r>
            <w:r>
              <w:rPr>
                <w:rFonts w:hint="eastAsia"/>
                <w:b/>
                <w:color w:val="000000"/>
              </w:rPr>
              <w:t>（很重要）</w:t>
            </w:r>
          </w:p>
        </w:tc>
        <w:tc>
          <w:tcPr>
            <w:tcW w:w="720" w:type="dxa"/>
            <w:vMerge w:val="restart"/>
            <w:vAlign w:val="center"/>
          </w:tcPr>
          <w:p>
            <w:pPr>
              <w:jc w:val="center"/>
              <w:rPr>
                <w:rFonts w:hint="eastAsia"/>
                <w:color w:val="000000"/>
              </w:rPr>
            </w:pPr>
            <w:r>
              <w:rPr>
                <w:rFonts w:hint="eastAsia"/>
                <w:color w:val="000000"/>
              </w:rPr>
              <w:t>是否参加</w:t>
            </w:r>
          </w:p>
          <w:p>
            <w:pPr>
              <w:jc w:val="center"/>
              <w:rPr>
                <w:rFonts w:hint="eastAsia"/>
                <w:color w:val="000000"/>
              </w:rPr>
            </w:pPr>
            <w:r>
              <w:rPr>
                <w:rFonts w:hint="eastAsia"/>
                <w:color w:val="000000"/>
              </w:rPr>
              <w:t>参观活动</w:t>
            </w:r>
          </w:p>
        </w:tc>
        <w:tc>
          <w:tcPr>
            <w:tcW w:w="3240" w:type="dxa"/>
            <w:gridSpan w:val="3"/>
            <w:vAlign w:val="center"/>
          </w:tcPr>
          <w:p>
            <w:pPr>
              <w:jc w:val="center"/>
              <w:rPr>
                <w:rFonts w:hint="eastAsia"/>
                <w:color w:val="000000"/>
              </w:rPr>
            </w:pPr>
            <w:r>
              <w:rPr>
                <w:rFonts w:hint="eastAsia"/>
                <w:color w:val="000000"/>
              </w:rPr>
              <w:t>是否预订回程票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00" w:type="dxa"/>
            <w:vMerge w:val="continue"/>
            <w:vAlign w:val="center"/>
          </w:tcPr>
          <w:p>
            <w:pPr>
              <w:jc w:val="center"/>
              <w:rPr>
                <w:rFonts w:hint="eastAsia"/>
                <w:color w:val="000000"/>
              </w:rPr>
            </w:pPr>
          </w:p>
        </w:tc>
        <w:tc>
          <w:tcPr>
            <w:tcW w:w="720" w:type="dxa"/>
            <w:vMerge w:val="continue"/>
            <w:vAlign w:val="center"/>
          </w:tcPr>
          <w:p>
            <w:pPr>
              <w:jc w:val="center"/>
              <w:rPr>
                <w:rFonts w:hint="eastAsia"/>
                <w:color w:val="000000"/>
              </w:rPr>
            </w:pPr>
          </w:p>
        </w:tc>
        <w:tc>
          <w:tcPr>
            <w:tcW w:w="1440" w:type="dxa"/>
            <w:vMerge w:val="continue"/>
            <w:vAlign w:val="center"/>
          </w:tcPr>
          <w:p>
            <w:pPr>
              <w:jc w:val="center"/>
              <w:rPr>
                <w:rFonts w:hint="eastAsia"/>
                <w:color w:val="000000"/>
              </w:rPr>
            </w:pPr>
          </w:p>
        </w:tc>
        <w:tc>
          <w:tcPr>
            <w:tcW w:w="871" w:type="dxa"/>
            <w:vMerge w:val="continue"/>
            <w:vAlign w:val="center"/>
          </w:tcPr>
          <w:p>
            <w:pPr>
              <w:jc w:val="center"/>
              <w:rPr>
                <w:rFonts w:hint="eastAsia"/>
                <w:color w:val="000000"/>
              </w:rPr>
            </w:pPr>
          </w:p>
        </w:tc>
        <w:tc>
          <w:tcPr>
            <w:tcW w:w="3095" w:type="dxa"/>
            <w:gridSpan w:val="2"/>
            <w:vMerge w:val="continue"/>
            <w:vAlign w:val="center"/>
          </w:tcPr>
          <w:p>
            <w:pPr>
              <w:jc w:val="center"/>
              <w:rPr>
                <w:rFonts w:hint="eastAsia"/>
                <w:color w:val="000000"/>
              </w:rPr>
            </w:pPr>
          </w:p>
        </w:tc>
        <w:tc>
          <w:tcPr>
            <w:tcW w:w="3060" w:type="dxa"/>
            <w:vMerge w:val="continue"/>
            <w:vAlign w:val="center"/>
          </w:tcPr>
          <w:p>
            <w:pPr>
              <w:jc w:val="center"/>
              <w:rPr>
                <w:rFonts w:hint="eastAsia"/>
                <w:color w:val="FF0000"/>
              </w:rPr>
            </w:pPr>
          </w:p>
        </w:tc>
        <w:tc>
          <w:tcPr>
            <w:tcW w:w="720" w:type="dxa"/>
            <w:vMerge w:val="continue"/>
            <w:vAlign w:val="center"/>
          </w:tcPr>
          <w:p>
            <w:pPr>
              <w:jc w:val="center"/>
              <w:rPr>
                <w:rFonts w:hint="eastAsia"/>
                <w:color w:val="FF0000"/>
              </w:rPr>
            </w:pPr>
          </w:p>
        </w:tc>
        <w:tc>
          <w:tcPr>
            <w:tcW w:w="720" w:type="dxa"/>
            <w:vAlign w:val="center"/>
          </w:tcPr>
          <w:p>
            <w:pPr>
              <w:jc w:val="center"/>
              <w:rPr>
                <w:color w:val="000000"/>
              </w:rPr>
            </w:pPr>
            <w:r>
              <w:rPr>
                <w:rFonts w:hint="eastAsia"/>
                <w:color w:val="000000"/>
              </w:rPr>
              <w:t>机票</w:t>
            </w:r>
          </w:p>
        </w:tc>
        <w:tc>
          <w:tcPr>
            <w:tcW w:w="900" w:type="dxa"/>
            <w:vAlign w:val="center"/>
          </w:tcPr>
          <w:p>
            <w:pPr>
              <w:jc w:val="center"/>
              <w:rPr>
                <w:rFonts w:hint="eastAsia"/>
                <w:color w:val="000000"/>
              </w:rPr>
            </w:pPr>
            <w:r>
              <w:rPr>
                <w:rFonts w:hint="eastAsia"/>
                <w:color w:val="000000"/>
              </w:rPr>
              <w:t>火车票</w:t>
            </w:r>
          </w:p>
        </w:tc>
        <w:tc>
          <w:tcPr>
            <w:tcW w:w="1620" w:type="dxa"/>
            <w:vAlign w:val="center"/>
          </w:tcPr>
          <w:p>
            <w:pPr>
              <w:jc w:val="center"/>
              <w:rPr>
                <w:rFonts w:hint="eastAsia"/>
                <w:color w:val="000000"/>
              </w:rPr>
            </w:pPr>
            <w:r>
              <w:rPr>
                <w:rFonts w:hint="eastAsia"/>
                <w:color w:val="000000"/>
              </w:rPr>
              <w:t>回程区间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00" w:type="dxa"/>
            <w:vMerge w:val="restart"/>
            <w:vAlign w:val="center"/>
          </w:tcPr>
          <w:p>
            <w:pPr>
              <w:jc w:val="center"/>
              <w:rPr>
                <w:rFonts w:hint="eastAsia"/>
                <w:color w:val="000000"/>
              </w:rPr>
            </w:pPr>
          </w:p>
        </w:tc>
        <w:tc>
          <w:tcPr>
            <w:tcW w:w="720" w:type="dxa"/>
            <w:vMerge w:val="restart"/>
            <w:vAlign w:val="center"/>
          </w:tcPr>
          <w:p>
            <w:pPr>
              <w:jc w:val="center"/>
              <w:rPr>
                <w:rFonts w:hint="eastAsia"/>
                <w:color w:val="000000"/>
              </w:rPr>
            </w:pPr>
          </w:p>
        </w:tc>
        <w:tc>
          <w:tcPr>
            <w:tcW w:w="1440" w:type="dxa"/>
            <w:vMerge w:val="restart"/>
            <w:vAlign w:val="center"/>
          </w:tcPr>
          <w:p>
            <w:pPr>
              <w:jc w:val="center"/>
              <w:rPr>
                <w:rFonts w:hint="eastAsia"/>
                <w:color w:val="000000"/>
              </w:rPr>
            </w:pPr>
          </w:p>
        </w:tc>
        <w:tc>
          <w:tcPr>
            <w:tcW w:w="871" w:type="dxa"/>
            <w:vMerge w:val="restart"/>
            <w:vAlign w:val="center"/>
          </w:tcPr>
          <w:p>
            <w:pPr>
              <w:jc w:val="center"/>
              <w:rPr>
                <w:rFonts w:hint="eastAsia"/>
                <w:color w:val="000000"/>
              </w:rPr>
            </w:pPr>
          </w:p>
        </w:tc>
        <w:tc>
          <w:tcPr>
            <w:tcW w:w="3095" w:type="dxa"/>
            <w:gridSpan w:val="2"/>
            <w:vAlign w:val="center"/>
          </w:tcPr>
          <w:p>
            <w:pPr>
              <w:rPr>
                <w:rFonts w:hint="eastAsia"/>
                <w:color w:val="000000"/>
              </w:rPr>
            </w:pPr>
          </w:p>
        </w:tc>
        <w:tc>
          <w:tcPr>
            <w:tcW w:w="3060" w:type="dxa"/>
            <w:vMerge w:val="restart"/>
            <w:vAlign w:val="center"/>
          </w:tcPr>
          <w:p>
            <w:pPr>
              <w:jc w:val="center"/>
              <w:rPr>
                <w:rFonts w:hint="eastAsia"/>
                <w:color w:val="FF0000"/>
              </w:rPr>
            </w:pPr>
          </w:p>
        </w:tc>
        <w:tc>
          <w:tcPr>
            <w:tcW w:w="720" w:type="dxa"/>
            <w:vMerge w:val="restart"/>
            <w:vAlign w:val="center"/>
          </w:tcPr>
          <w:p>
            <w:pPr>
              <w:jc w:val="center"/>
              <w:rPr>
                <w:rFonts w:hint="eastAsia"/>
                <w:color w:val="FF0000"/>
              </w:rPr>
            </w:pPr>
          </w:p>
        </w:tc>
        <w:tc>
          <w:tcPr>
            <w:tcW w:w="720" w:type="dxa"/>
            <w:vMerge w:val="restart"/>
            <w:vAlign w:val="center"/>
          </w:tcPr>
          <w:p>
            <w:pPr>
              <w:jc w:val="center"/>
              <w:rPr>
                <w:rFonts w:hint="eastAsia"/>
                <w:color w:val="000000"/>
              </w:rPr>
            </w:pPr>
          </w:p>
        </w:tc>
        <w:tc>
          <w:tcPr>
            <w:tcW w:w="900" w:type="dxa"/>
            <w:vMerge w:val="restart"/>
            <w:vAlign w:val="center"/>
          </w:tcPr>
          <w:p>
            <w:pPr>
              <w:jc w:val="center"/>
              <w:rPr>
                <w:rFonts w:hint="eastAsia"/>
                <w:color w:val="000000"/>
              </w:rPr>
            </w:pPr>
          </w:p>
        </w:tc>
        <w:tc>
          <w:tcPr>
            <w:tcW w:w="1620" w:type="dxa"/>
            <w:vMerge w:val="restart"/>
            <w:vAlign w:val="center"/>
          </w:tcPr>
          <w:p>
            <w:pPr>
              <w:jc w:val="center"/>
              <w:rPr>
                <w:rFonts w:hint="eastAsia"/>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00" w:type="dxa"/>
            <w:vMerge w:val="continue"/>
            <w:vAlign w:val="center"/>
          </w:tcPr>
          <w:p>
            <w:pPr>
              <w:jc w:val="center"/>
              <w:rPr>
                <w:rFonts w:hint="eastAsia"/>
                <w:color w:val="000000"/>
              </w:rPr>
            </w:pPr>
          </w:p>
        </w:tc>
        <w:tc>
          <w:tcPr>
            <w:tcW w:w="720" w:type="dxa"/>
            <w:vMerge w:val="continue"/>
            <w:vAlign w:val="center"/>
          </w:tcPr>
          <w:p>
            <w:pPr>
              <w:jc w:val="center"/>
              <w:rPr>
                <w:rFonts w:hint="eastAsia"/>
                <w:color w:val="000000"/>
              </w:rPr>
            </w:pPr>
          </w:p>
        </w:tc>
        <w:tc>
          <w:tcPr>
            <w:tcW w:w="1440" w:type="dxa"/>
            <w:vMerge w:val="continue"/>
            <w:vAlign w:val="center"/>
          </w:tcPr>
          <w:p>
            <w:pPr>
              <w:jc w:val="center"/>
              <w:rPr>
                <w:rFonts w:hint="eastAsia"/>
                <w:color w:val="000000"/>
              </w:rPr>
            </w:pPr>
          </w:p>
        </w:tc>
        <w:tc>
          <w:tcPr>
            <w:tcW w:w="871" w:type="dxa"/>
            <w:vMerge w:val="continue"/>
            <w:vAlign w:val="center"/>
          </w:tcPr>
          <w:p>
            <w:pPr>
              <w:jc w:val="center"/>
              <w:rPr>
                <w:rFonts w:hint="eastAsia"/>
                <w:color w:val="000000"/>
              </w:rPr>
            </w:pPr>
          </w:p>
        </w:tc>
        <w:tc>
          <w:tcPr>
            <w:tcW w:w="3095" w:type="dxa"/>
            <w:gridSpan w:val="2"/>
            <w:vAlign w:val="center"/>
          </w:tcPr>
          <w:p>
            <w:pPr>
              <w:rPr>
                <w:rFonts w:hint="eastAsia"/>
                <w:color w:val="000000"/>
              </w:rPr>
            </w:pPr>
          </w:p>
        </w:tc>
        <w:tc>
          <w:tcPr>
            <w:tcW w:w="3060" w:type="dxa"/>
            <w:vMerge w:val="continue"/>
            <w:vAlign w:val="center"/>
          </w:tcPr>
          <w:p>
            <w:pPr>
              <w:jc w:val="center"/>
              <w:rPr>
                <w:rFonts w:hint="eastAsia"/>
                <w:color w:val="FF0000"/>
              </w:rPr>
            </w:pPr>
          </w:p>
        </w:tc>
        <w:tc>
          <w:tcPr>
            <w:tcW w:w="720" w:type="dxa"/>
            <w:vMerge w:val="continue"/>
            <w:vAlign w:val="center"/>
          </w:tcPr>
          <w:p>
            <w:pPr>
              <w:jc w:val="center"/>
              <w:rPr>
                <w:rFonts w:hint="eastAsia"/>
                <w:color w:val="FF0000"/>
              </w:rPr>
            </w:pPr>
          </w:p>
        </w:tc>
        <w:tc>
          <w:tcPr>
            <w:tcW w:w="720" w:type="dxa"/>
            <w:vMerge w:val="continue"/>
            <w:vAlign w:val="center"/>
          </w:tcPr>
          <w:p>
            <w:pPr>
              <w:jc w:val="center"/>
              <w:rPr>
                <w:rFonts w:hint="eastAsia"/>
                <w:color w:val="000000"/>
              </w:rPr>
            </w:pPr>
          </w:p>
        </w:tc>
        <w:tc>
          <w:tcPr>
            <w:tcW w:w="900" w:type="dxa"/>
            <w:vMerge w:val="continue"/>
            <w:vAlign w:val="center"/>
          </w:tcPr>
          <w:p>
            <w:pPr>
              <w:jc w:val="center"/>
              <w:rPr>
                <w:rFonts w:hint="eastAsia"/>
                <w:color w:val="000000"/>
              </w:rPr>
            </w:pPr>
          </w:p>
        </w:tc>
        <w:tc>
          <w:tcPr>
            <w:tcW w:w="1620" w:type="dxa"/>
            <w:vMerge w:val="continue"/>
            <w:vAlign w:val="center"/>
          </w:tcPr>
          <w:p>
            <w:pPr>
              <w:jc w:val="center"/>
              <w:rPr>
                <w:rFonts w:hint="eastAsia"/>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00" w:type="dxa"/>
            <w:vMerge w:val="restart"/>
            <w:vAlign w:val="center"/>
          </w:tcPr>
          <w:p>
            <w:pPr>
              <w:jc w:val="center"/>
              <w:rPr>
                <w:rFonts w:hint="eastAsia"/>
                <w:color w:val="000000"/>
              </w:rPr>
            </w:pPr>
          </w:p>
        </w:tc>
        <w:tc>
          <w:tcPr>
            <w:tcW w:w="720" w:type="dxa"/>
            <w:vMerge w:val="restart"/>
            <w:vAlign w:val="center"/>
          </w:tcPr>
          <w:p>
            <w:pPr>
              <w:jc w:val="center"/>
              <w:rPr>
                <w:rFonts w:hint="eastAsia"/>
                <w:color w:val="000000"/>
              </w:rPr>
            </w:pPr>
          </w:p>
        </w:tc>
        <w:tc>
          <w:tcPr>
            <w:tcW w:w="1440" w:type="dxa"/>
            <w:vMerge w:val="restart"/>
            <w:vAlign w:val="center"/>
          </w:tcPr>
          <w:p>
            <w:pPr>
              <w:jc w:val="center"/>
              <w:rPr>
                <w:rFonts w:hint="eastAsia"/>
                <w:color w:val="000000"/>
              </w:rPr>
            </w:pPr>
          </w:p>
        </w:tc>
        <w:tc>
          <w:tcPr>
            <w:tcW w:w="871" w:type="dxa"/>
            <w:vMerge w:val="restart"/>
            <w:vAlign w:val="center"/>
          </w:tcPr>
          <w:p>
            <w:pPr>
              <w:jc w:val="center"/>
              <w:rPr>
                <w:rFonts w:hint="eastAsia"/>
                <w:color w:val="000000"/>
              </w:rPr>
            </w:pPr>
          </w:p>
        </w:tc>
        <w:tc>
          <w:tcPr>
            <w:tcW w:w="3095" w:type="dxa"/>
            <w:gridSpan w:val="2"/>
            <w:vAlign w:val="center"/>
          </w:tcPr>
          <w:p>
            <w:pPr>
              <w:rPr>
                <w:rFonts w:hint="eastAsia"/>
                <w:color w:val="000000"/>
              </w:rPr>
            </w:pPr>
          </w:p>
        </w:tc>
        <w:tc>
          <w:tcPr>
            <w:tcW w:w="3060" w:type="dxa"/>
            <w:vMerge w:val="restart"/>
            <w:vAlign w:val="center"/>
          </w:tcPr>
          <w:p>
            <w:pPr>
              <w:jc w:val="center"/>
              <w:rPr>
                <w:rFonts w:hint="eastAsia"/>
                <w:color w:val="FF0000"/>
              </w:rPr>
            </w:pPr>
          </w:p>
        </w:tc>
        <w:tc>
          <w:tcPr>
            <w:tcW w:w="720" w:type="dxa"/>
            <w:vMerge w:val="restart"/>
            <w:vAlign w:val="center"/>
          </w:tcPr>
          <w:p>
            <w:pPr>
              <w:jc w:val="center"/>
              <w:rPr>
                <w:rFonts w:hint="eastAsia"/>
                <w:color w:val="FF0000"/>
              </w:rPr>
            </w:pPr>
          </w:p>
        </w:tc>
        <w:tc>
          <w:tcPr>
            <w:tcW w:w="720" w:type="dxa"/>
            <w:vMerge w:val="restart"/>
            <w:vAlign w:val="center"/>
          </w:tcPr>
          <w:p>
            <w:pPr>
              <w:jc w:val="center"/>
              <w:rPr>
                <w:rFonts w:hint="eastAsia"/>
                <w:color w:val="000000"/>
              </w:rPr>
            </w:pPr>
          </w:p>
        </w:tc>
        <w:tc>
          <w:tcPr>
            <w:tcW w:w="900" w:type="dxa"/>
            <w:vMerge w:val="restart"/>
            <w:vAlign w:val="center"/>
          </w:tcPr>
          <w:p>
            <w:pPr>
              <w:jc w:val="center"/>
              <w:rPr>
                <w:rFonts w:hint="eastAsia"/>
                <w:color w:val="000000"/>
              </w:rPr>
            </w:pPr>
          </w:p>
        </w:tc>
        <w:tc>
          <w:tcPr>
            <w:tcW w:w="1620" w:type="dxa"/>
            <w:vMerge w:val="restart"/>
            <w:vAlign w:val="center"/>
          </w:tcPr>
          <w:p>
            <w:pPr>
              <w:jc w:val="center"/>
              <w:rPr>
                <w:rFonts w:hint="eastAsia"/>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00" w:type="dxa"/>
            <w:vMerge w:val="continue"/>
            <w:vAlign w:val="center"/>
          </w:tcPr>
          <w:p>
            <w:pPr>
              <w:jc w:val="center"/>
              <w:rPr>
                <w:rFonts w:hint="eastAsia"/>
                <w:color w:val="000000"/>
              </w:rPr>
            </w:pPr>
          </w:p>
        </w:tc>
        <w:tc>
          <w:tcPr>
            <w:tcW w:w="720" w:type="dxa"/>
            <w:vMerge w:val="continue"/>
            <w:vAlign w:val="center"/>
          </w:tcPr>
          <w:p>
            <w:pPr>
              <w:jc w:val="center"/>
              <w:rPr>
                <w:rFonts w:hint="eastAsia"/>
                <w:color w:val="000000"/>
              </w:rPr>
            </w:pPr>
          </w:p>
        </w:tc>
        <w:tc>
          <w:tcPr>
            <w:tcW w:w="1440" w:type="dxa"/>
            <w:vMerge w:val="continue"/>
            <w:vAlign w:val="center"/>
          </w:tcPr>
          <w:p>
            <w:pPr>
              <w:jc w:val="center"/>
              <w:rPr>
                <w:rFonts w:hint="eastAsia"/>
                <w:color w:val="000000"/>
              </w:rPr>
            </w:pPr>
          </w:p>
        </w:tc>
        <w:tc>
          <w:tcPr>
            <w:tcW w:w="871" w:type="dxa"/>
            <w:vMerge w:val="continue"/>
            <w:vAlign w:val="center"/>
          </w:tcPr>
          <w:p>
            <w:pPr>
              <w:jc w:val="center"/>
              <w:rPr>
                <w:rFonts w:hint="eastAsia"/>
                <w:color w:val="000000"/>
              </w:rPr>
            </w:pPr>
          </w:p>
        </w:tc>
        <w:tc>
          <w:tcPr>
            <w:tcW w:w="3095" w:type="dxa"/>
            <w:gridSpan w:val="2"/>
            <w:vAlign w:val="center"/>
          </w:tcPr>
          <w:p>
            <w:pPr>
              <w:rPr>
                <w:rFonts w:hint="eastAsia"/>
                <w:color w:val="000000"/>
              </w:rPr>
            </w:pPr>
          </w:p>
        </w:tc>
        <w:tc>
          <w:tcPr>
            <w:tcW w:w="3060" w:type="dxa"/>
            <w:vMerge w:val="continue"/>
            <w:vAlign w:val="center"/>
          </w:tcPr>
          <w:p>
            <w:pPr>
              <w:jc w:val="center"/>
              <w:rPr>
                <w:rFonts w:hint="eastAsia"/>
                <w:color w:val="FF0000"/>
              </w:rPr>
            </w:pPr>
          </w:p>
        </w:tc>
        <w:tc>
          <w:tcPr>
            <w:tcW w:w="720" w:type="dxa"/>
            <w:vMerge w:val="continue"/>
            <w:vAlign w:val="center"/>
          </w:tcPr>
          <w:p>
            <w:pPr>
              <w:jc w:val="center"/>
              <w:rPr>
                <w:rFonts w:hint="eastAsia"/>
                <w:color w:val="FF0000"/>
              </w:rPr>
            </w:pPr>
          </w:p>
        </w:tc>
        <w:tc>
          <w:tcPr>
            <w:tcW w:w="720" w:type="dxa"/>
            <w:vMerge w:val="continue"/>
            <w:vAlign w:val="center"/>
          </w:tcPr>
          <w:p>
            <w:pPr>
              <w:jc w:val="center"/>
              <w:rPr>
                <w:rFonts w:hint="eastAsia"/>
                <w:color w:val="000000"/>
              </w:rPr>
            </w:pPr>
          </w:p>
        </w:tc>
        <w:tc>
          <w:tcPr>
            <w:tcW w:w="900" w:type="dxa"/>
            <w:vMerge w:val="continue"/>
            <w:vAlign w:val="center"/>
          </w:tcPr>
          <w:p>
            <w:pPr>
              <w:jc w:val="center"/>
              <w:rPr>
                <w:rFonts w:hint="eastAsia"/>
                <w:color w:val="000000"/>
              </w:rPr>
            </w:pPr>
          </w:p>
        </w:tc>
        <w:tc>
          <w:tcPr>
            <w:tcW w:w="1620" w:type="dxa"/>
            <w:vMerge w:val="continue"/>
            <w:vAlign w:val="center"/>
          </w:tcPr>
          <w:p>
            <w:pPr>
              <w:jc w:val="center"/>
              <w:rPr>
                <w:rFonts w:hint="eastAsia"/>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900" w:type="dxa"/>
            <w:vMerge w:val="restart"/>
            <w:vAlign w:val="center"/>
          </w:tcPr>
          <w:p>
            <w:pPr>
              <w:jc w:val="center"/>
              <w:rPr>
                <w:rFonts w:hint="eastAsia"/>
                <w:color w:val="000000"/>
              </w:rPr>
            </w:pPr>
          </w:p>
        </w:tc>
        <w:tc>
          <w:tcPr>
            <w:tcW w:w="720" w:type="dxa"/>
            <w:vMerge w:val="restart"/>
            <w:vAlign w:val="center"/>
          </w:tcPr>
          <w:p>
            <w:pPr>
              <w:jc w:val="center"/>
              <w:rPr>
                <w:rFonts w:hint="eastAsia"/>
                <w:color w:val="000000"/>
              </w:rPr>
            </w:pPr>
          </w:p>
        </w:tc>
        <w:tc>
          <w:tcPr>
            <w:tcW w:w="1440" w:type="dxa"/>
            <w:vMerge w:val="restart"/>
            <w:vAlign w:val="center"/>
          </w:tcPr>
          <w:p>
            <w:pPr>
              <w:jc w:val="center"/>
              <w:rPr>
                <w:rFonts w:hint="eastAsia"/>
                <w:color w:val="000000"/>
              </w:rPr>
            </w:pPr>
          </w:p>
        </w:tc>
        <w:tc>
          <w:tcPr>
            <w:tcW w:w="871" w:type="dxa"/>
            <w:vMerge w:val="restart"/>
            <w:vAlign w:val="center"/>
          </w:tcPr>
          <w:p>
            <w:pPr>
              <w:jc w:val="center"/>
              <w:rPr>
                <w:rFonts w:hint="eastAsia"/>
                <w:color w:val="000000"/>
              </w:rPr>
            </w:pPr>
          </w:p>
        </w:tc>
        <w:tc>
          <w:tcPr>
            <w:tcW w:w="3095" w:type="dxa"/>
            <w:gridSpan w:val="2"/>
            <w:vAlign w:val="center"/>
          </w:tcPr>
          <w:p>
            <w:pPr>
              <w:rPr>
                <w:rFonts w:hint="eastAsia"/>
                <w:color w:val="000000"/>
              </w:rPr>
            </w:pPr>
          </w:p>
        </w:tc>
        <w:tc>
          <w:tcPr>
            <w:tcW w:w="3060" w:type="dxa"/>
            <w:vMerge w:val="restart"/>
            <w:vAlign w:val="center"/>
          </w:tcPr>
          <w:p>
            <w:pPr>
              <w:jc w:val="center"/>
              <w:rPr>
                <w:rFonts w:hint="eastAsia"/>
                <w:color w:val="FF0000"/>
              </w:rPr>
            </w:pPr>
          </w:p>
        </w:tc>
        <w:tc>
          <w:tcPr>
            <w:tcW w:w="720" w:type="dxa"/>
            <w:vMerge w:val="restart"/>
            <w:vAlign w:val="center"/>
          </w:tcPr>
          <w:p>
            <w:pPr>
              <w:jc w:val="center"/>
              <w:rPr>
                <w:rFonts w:hint="eastAsia"/>
                <w:color w:val="FF0000"/>
              </w:rPr>
            </w:pPr>
          </w:p>
        </w:tc>
        <w:tc>
          <w:tcPr>
            <w:tcW w:w="720" w:type="dxa"/>
            <w:vMerge w:val="restart"/>
            <w:vAlign w:val="center"/>
          </w:tcPr>
          <w:p>
            <w:pPr>
              <w:jc w:val="center"/>
              <w:rPr>
                <w:rFonts w:hint="eastAsia"/>
                <w:color w:val="000000"/>
              </w:rPr>
            </w:pPr>
          </w:p>
        </w:tc>
        <w:tc>
          <w:tcPr>
            <w:tcW w:w="900" w:type="dxa"/>
            <w:vMerge w:val="restart"/>
            <w:vAlign w:val="center"/>
          </w:tcPr>
          <w:p>
            <w:pPr>
              <w:jc w:val="center"/>
              <w:rPr>
                <w:rFonts w:hint="eastAsia"/>
                <w:color w:val="000000"/>
              </w:rPr>
            </w:pPr>
          </w:p>
        </w:tc>
        <w:tc>
          <w:tcPr>
            <w:tcW w:w="1620" w:type="dxa"/>
            <w:vMerge w:val="restart"/>
            <w:vAlign w:val="center"/>
          </w:tcPr>
          <w:p>
            <w:pPr>
              <w:jc w:val="center"/>
              <w:rPr>
                <w:rFonts w:hint="eastAsia"/>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900" w:type="dxa"/>
            <w:vMerge w:val="continue"/>
            <w:vAlign w:val="center"/>
          </w:tcPr>
          <w:p>
            <w:pPr>
              <w:jc w:val="center"/>
              <w:rPr>
                <w:rFonts w:hint="eastAsia"/>
                <w:color w:val="000000"/>
              </w:rPr>
            </w:pPr>
          </w:p>
        </w:tc>
        <w:tc>
          <w:tcPr>
            <w:tcW w:w="720" w:type="dxa"/>
            <w:vMerge w:val="continue"/>
            <w:vAlign w:val="center"/>
          </w:tcPr>
          <w:p>
            <w:pPr>
              <w:jc w:val="center"/>
              <w:rPr>
                <w:rFonts w:hint="eastAsia"/>
                <w:color w:val="000000"/>
              </w:rPr>
            </w:pPr>
          </w:p>
        </w:tc>
        <w:tc>
          <w:tcPr>
            <w:tcW w:w="1440" w:type="dxa"/>
            <w:vMerge w:val="continue"/>
            <w:vAlign w:val="center"/>
          </w:tcPr>
          <w:p>
            <w:pPr>
              <w:jc w:val="center"/>
              <w:rPr>
                <w:rFonts w:hint="eastAsia"/>
                <w:color w:val="000000"/>
              </w:rPr>
            </w:pPr>
          </w:p>
        </w:tc>
        <w:tc>
          <w:tcPr>
            <w:tcW w:w="871" w:type="dxa"/>
            <w:vMerge w:val="continue"/>
            <w:vAlign w:val="center"/>
          </w:tcPr>
          <w:p>
            <w:pPr>
              <w:jc w:val="center"/>
              <w:rPr>
                <w:rFonts w:hint="eastAsia"/>
                <w:color w:val="000000"/>
              </w:rPr>
            </w:pPr>
          </w:p>
        </w:tc>
        <w:tc>
          <w:tcPr>
            <w:tcW w:w="3095" w:type="dxa"/>
            <w:gridSpan w:val="2"/>
            <w:vAlign w:val="center"/>
          </w:tcPr>
          <w:p>
            <w:pPr>
              <w:rPr>
                <w:rFonts w:hint="eastAsia"/>
                <w:color w:val="000000"/>
              </w:rPr>
            </w:pPr>
          </w:p>
        </w:tc>
        <w:tc>
          <w:tcPr>
            <w:tcW w:w="3060" w:type="dxa"/>
            <w:vMerge w:val="continue"/>
            <w:vAlign w:val="center"/>
          </w:tcPr>
          <w:p>
            <w:pPr>
              <w:jc w:val="center"/>
              <w:rPr>
                <w:rFonts w:hint="eastAsia"/>
                <w:color w:val="000000"/>
              </w:rPr>
            </w:pPr>
          </w:p>
        </w:tc>
        <w:tc>
          <w:tcPr>
            <w:tcW w:w="720" w:type="dxa"/>
            <w:vMerge w:val="continue"/>
            <w:vAlign w:val="center"/>
          </w:tcPr>
          <w:p>
            <w:pPr>
              <w:jc w:val="center"/>
              <w:rPr>
                <w:rFonts w:hint="eastAsia"/>
                <w:color w:val="000000"/>
              </w:rPr>
            </w:pPr>
          </w:p>
        </w:tc>
        <w:tc>
          <w:tcPr>
            <w:tcW w:w="720" w:type="dxa"/>
            <w:vMerge w:val="continue"/>
            <w:vAlign w:val="center"/>
          </w:tcPr>
          <w:p>
            <w:pPr>
              <w:jc w:val="center"/>
              <w:rPr>
                <w:rFonts w:hint="eastAsia"/>
                <w:color w:val="000000"/>
              </w:rPr>
            </w:pPr>
          </w:p>
        </w:tc>
        <w:tc>
          <w:tcPr>
            <w:tcW w:w="900" w:type="dxa"/>
            <w:vMerge w:val="continue"/>
            <w:vAlign w:val="center"/>
          </w:tcPr>
          <w:p>
            <w:pPr>
              <w:jc w:val="center"/>
              <w:rPr>
                <w:rFonts w:hint="eastAsia"/>
                <w:color w:val="000000"/>
              </w:rPr>
            </w:pPr>
          </w:p>
        </w:tc>
        <w:tc>
          <w:tcPr>
            <w:tcW w:w="1620" w:type="dxa"/>
            <w:vMerge w:val="continue"/>
            <w:vAlign w:val="center"/>
          </w:tcPr>
          <w:p>
            <w:pPr>
              <w:jc w:val="center"/>
              <w:rPr>
                <w:rFonts w:hint="eastAsia"/>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1620" w:type="dxa"/>
            <w:gridSpan w:val="2"/>
            <w:shd w:val="clear" w:color="auto" w:fill="auto"/>
            <w:vAlign w:val="center"/>
          </w:tcPr>
          <w:p>
            <w:pPr>
              <w:jc w:val="center"/>
              <w:rPr>
                <w:rFonts w:hint="eastAsia"/>
                <w:color w:val="000000"/>
              </w:rPr>
            </w:pPr>
            <w:r>
              <w:rPr>
                <w:rFonts w:hint="eastAsia"/>
                <w:color w:val="000000"/>
              </w:rPr>
              <w:t>住宿需求</w:t>
            </w:r>
          </w:p>
        </w:tc>
        <w:tc>
          <w:tcPr>
            <w:tcW w:w="2706" w:type="dxa"/>
            <w:gridSpan w:val="3"/>
            <w:shd w:val="clear" w:color="auto" w:fill="auto"/>
            <w:vAlign w:val="center"/>
          </w:tcPr>
          <w:p>
            <w:pPr>
              <w:jc w:val="center"/>
              <w:rPr>
                <w:rFonts w:hint="eastAsia"/>
                <w:color w:val="000000"/>
              </w:rPr>
            </w:pPr>
            <w:r>
              <w:rPr>
                <w:rFonts w:hint="eastAsia"/>
                <w:color w:val="000000"/>
              </w:rPr>
              <w:t>标准间</w:t>
            </w:r>
          </w:p>
          <w:p>
            <w:pPr>
              <w:jc w:val="center"/>
              <w:rPr>
                <w:rFonts w:hint="eastAsia"/>
                <w:color w:val="000000"/>
              </w:rPr>
            </w:pPr>
            <w:r>
              <w:rPr>
                <w:rFonts w:hint="eastAsia"/>
                <w:color w:val="auto"/>
                <w:lang w:val="en-US" w:eastAsia="zh-CN"/>
              </w:rPr>
              <w:t>350</w:t>
            </w:r>
            <w:r>
              <w:rPr>
                <w:rFonts w:hint="eastAsia"/>
                <w:color w:val="auto"/>
              </w:rPr>
              <w:t>元/间</w:t>
            </w:r>
          </w:p>
        </w:tc>
        <w:tc>
          <w:tcPr>
            <w:tcW w:w="9720" w:type="dxa"/>
            <w:gridSpan w:val="6"/>
            <w:shd w:val="clear" w:color="auto" w:fill="auto"/>
            <w:vAlign w:val="center"/>
          </w:tcPr>
          <w:p>
            <w:pPr>
              <w:jc w:val="center"/>
              <w:rPr>
                <w:rFonts w:hint="eastAsia"/>
                <w:color w:val="000000"/>
              </w:rPr>
            </w:pPr>
          </w:p>
        </w:tc>
      </w:tr>
    </w:tbl>
    <w:p>
      <w:pPr>
        <w:sectPr>
          <w:headerReference r:id="rId6" w:type="first"/>
          <w:footerReference r:id="rId9" w:type="first"/>
          <w:headerReference r:id="rId4" w:type="default"/>
          <w:footerReference r:id="rId7" w:type="default"/>
          <w:headerReference r:id="rId5" w:type="even"/>
          <w:footerReference r:id="rId8" w:type="even"/>
          <w:pgSz w:w="16838" w:h="11906" w:orient="landscape"/>
          <w:pgMar w:top="1797" w:right="1440" w:bottom="1797" w:left="1440" w:header="851" w:footer="992" w:gutter="0"/>
          <w:cols w:space="425" w:num="1"/>
          <w:docGrid w:type="lines" w:linePitch="312" w:charSpace="0"/>
        </w:sectPr>
      </w:pPr>
      <w:r>
        <w:rPr>
          <w:rFonts w:hint="eastAsia"/>
          <w:color w:val="000000"/>
          <w:szCs w:val="21"/>
        </w:rPr>
        <w:t>各单位参会人员请于</w:t>
      </w:r>
      <w:r>
        <w:rPr>
          <w:rFonts w:hint="eastAsia"/>
          <w:color w:val="000000"/>
          <w:szCs w:val="21"/>
          <w:lang w:val="en-US" w:eastAsia="zh-CN"/>
        </w:rPr>
        <w:t>9</w:t>
      </w:r>
      <w:r>
        <w:rPr>
          <w:rFonts w:hint="eastAsia"/>
          <w:color w:val="000000"/>
          <w:szCs w:val="21"/>
        </w:rPr>
        <w:t>月30日前将回执信息报</w:t>
      </w:r>
      <w:r>
        <w:rPr>
          <w:rFonts w:hint="eastAsia" w:ascii="宋体" w:hAnsi="宋体" w:cs="宋体"/>
          <w:color w:val="000000"/>
          <w:szCs w:val="21"/>
          <w:lang w:eastAsia="zh-CN"/>
        </w:rPr>
        <w:t>沈阳工程学院白迪</w:t>
      </w:r>
      <w:r>
        <w:rPr>
          <w:rFonts w:hint="eastAsia"/>
          <w:color w:val="000000"/>
          <w:szCs w:val="21"/>
        </w:rPr>
        <w:t>老师（Email：</w:t>
      </w:r>
      <w:r>
        <w:rPr>
          <w:rFonts w:hint="eastAsia" w:ascii="宋体" w:hAnsi="宋体" w:cs="宋体"/>
          <w:szCs w:val="21"/>
          <w:lang w:val="en-US" w:eastAsia="zh-CN"/>
        </w:rPr>
        <w:t>hopebaidi</w:t>
      </w:r>
      <w:r>
        <w:rPr>
          <w:rFonts w:ascii="宋体" w:hAnsi="宋体" w:cs="宋体"/>
          <w:szCs w:val="21"/>
        </w:rPr>
        <w:t>@163.com</w:t>
      </w:r>
      <w:r>
        <w:rPr>
          <w:rFonts w:hint="eastAsia"/>
          <w:color w:val="000000"/>
          <w:szCs w:val="21"/>
        </w:rPr>
        <w:t>），以便预订住宿以及做好返程票务。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A5F0C"/>
    <w:multiLevelType w:val="multilevel"/>
    <w:tmpl w:val="5E1A5F0C"/>
    <w:lvl w:ilvl="0" w:tentative="0">
      <w:start w:val="1"/>
      <w:numFmt w:val="decimal"/>
      <w:lvlText w:val="%1."/>
      <w:lvlJc w:val="left"/>
      <w:pPr>
        <w:tabs>
          <w:tab w:val="left" w:pos="900"/>
        </w:tabs>
        <w:ind w:left="900" w:hanging="360"/>
      </w:pPr>
      <w:rPr>
        <w:rFonts w:hint="eastAsia"/>
      </w:rPr>
    </w:lvl>
    <w:lvl w:ilvl="1" w:tentative="0">
      <w:start w:val="1"/>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1752F"/>
    <w:rsid w:val="24AF1CA0"/>
    <w:rsid w:val="27A573E6"/>
    <w:rsid w:val="40A1752F"/>
    <w:rsid w:val="62190FCB"/>
    <w:rsid w:val="68A64F9F"/>
    <w:rsid w:val="6A205633"/>
    <w:rsid w:val="6B3001E9"/>
    <w:rsid w:val="6F103AC8"/>
    <w:rsid w:val="76A67FF1"/>
    <w:rsid w:val="7E561A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2017-07-03T08:01:00Z</dcterms:created>
  <dc:creator>Administrator</dc:creator>
  <cp:lastModifiedBy>Administrator</cp:lastModifiedBy>
  <dcterms:modified xsi:type="dcterms:W3CDTF">2017-07-12T04:53:45Z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